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2025年度巴彦淖尔市科技计划项目申报指南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第一部分 科技创新驱动项目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</w:rPr>
        <w:t>种业创新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  <w:lang w:val="en-US" w:eastAsia="zh-CN"/>
        </w:rPr>
        <w:t>101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种质资源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收集保护鉴定</w:t>
      </w:r>
      <w:r>
        <w:rPr>
          <w:rFonts w:hint="eastAsia" w:ascii="Times New Roman" w:hAnsi="Times New Roman" w:eastAsia="仿宋_GB2312"/>
          <w:sz w:val="32"/>
          <w:szCs w:val="32"/>
          <w:u w:val="none"/>
        </w:rPr>
        <w:t>与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创新利用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Times New Roman" w:hAnsi="Times New Roman" w:eastAsia="仿宋_GB2312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  <w:lang w:val="en-US" w:eastAsia="zh-CN"/>
        </w:rPr>
        <w:t>102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  <w:lang w:eastAsia="zh-CN"/>
        </w:rPr>
        <w:t>利用常规育种和基因编辑等前沿生物育种技术，选育</w:t>
      </w:r>
      <w:r>
        <w:rPr>
          <w:rFonts w:hint="eastAsia" w:ascii="Times New Roman" w:hAnsi="Times New Roman" w:eastAsia="仿宋_GB2312"/>
          <w:spacing w:val="-6"/>
          <w:sz w:val="32"/>
          <w:szCs w:val="32"/>
          <w:u w:val="none"/>
          <w:lang w:val="en-US" w:eastAsia="zh-CN"/>
        </w:rPr>
        <w:t>高产优质农作物、耐密高产宜机收农作物、耐盐碱农作物、功能性农作物、加工型果蔬、高价值（设施）作物新品种、优质高抗牧草新品种、优质高产畜禽新品种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说明：此领域研究指南代码102由企业牵头申报。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二、绿色种养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" w:eastAsia="仿宋_GB2312" w:cs="楷体_GB2312"/>
          <w:bCs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：</w:t>
      </w:r>
      <w:r>
        <w:rPr>
          <w:rFonts w:hint="eastAsia" w:ascii="仿宋_GB2312" w:hAnsi="仿宋" w:eastAsia="仿宋_GB2312" w:cs="楷体_GB2312"/>
          <w:bCs/>
          <w:color w:val="000000"/>
          <w:sz w:val="32"/>
          <w:szCs w:val="32"/>
          <w:u w:val="none"/>
          <w:lang w:val="en-US" w:eastAsia="zh-CN"/>
        </w:rPr>
        <w:t>绿色低碳种养殖</w:t>
      </w:r>
      <w:r>
        <w:rPr>
          <w:rFonts w:hint="eastAsia" w:ascii="仿宋_GB2312" w:hAnsi="仿宋" w:eastAsia="仿宋_GB2312" w:cs="楷体_GB2312"/>
          <w:bCs/>
          <w:color w:val="000000"/>
          <w:sz w:val="32"/>
          <w:szCs w:val="32"/>
          <w:u w:val="none"/>
        </w:rPr>
        <w:t>技术</w:t>
      </w:r>
      <w:r>
        <w:rPr>
          <w:rFonts w:hint="eastAsia" w:ascii="仿宋_GB2312" w:hAnsi="仿宋" w:eastAsia="仿宋_GB2312" w:cs="楷体_GB2312"/>
          <w:bCs/>
          <w:color w:val="000000"/>
          <w:sz w:val="32"/>
          <w:szCs w:val="32"/>
          <w:u w:val="none"/>
          <w:lang w:val="en-US" w:eastAsia="zh-CN"/>
        </w:rPr>
        <w:t>研究</w:t>
      </w:r>
      <w:r>
        <w:rPr>
          <w:rFonts w:hint="eastAsia" w:ascii="仿宋_GB2312" w:hAnsi="仿宋" w:eastAsia="仿宋_GB2312" w:cs="楷体_GB2312"/>
          <w:bCs/>
          <w:color w:val="000000"/>
          <w:sz w:val="32"/>
          <w:szCs w:val="32"/>
          <w:u w:val="none"/>
        </w:rPr>
        <w:t>与</w:t>
      </w:r>
      <w:r>
        <w:rPr>
          <w:rFonts w:hint="eastAsia" w:ascii="仿宋_GB2312" w:hAnsi="仿宋" w:eastAsia="仿宋_GB2312" w:cs="楷体_GB2312"/>
          <w:bCs/>
          <w:color w:val="000000"/>
          <w:sz w:val="32"/>
          <w:szCs w:val="32"/>
          <w:u w:val="none"/>
          <w:lang w:val="en-US" w:eastAsia="zh-CN"/>
        </w:rPr>
        <w:t>集成</w:t>
      </w:r>
      <w:r>
        <w:rPr>
          <w:rFonts w:hint="eastAsia" w:ascii="仿宋_GB2312" w:hAnsi="仿宋" w:eastAsia="仿宋_GB2312" w:cs="楷体_GB2312"/>
          <w:bCs/>
          <w:color w:val="000000"/>
          <w:sz w:val="32"/>
          <w:szCs w:val="32"/>
          <w:u w:val="none"/>
        </w:rPr>
        <w:t>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Times New Roman" w:hAnsi="Times New Roman" w:eastAsia="仿宋_GB2312" w:cstheme="minorBidi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theme="minorBidi"/>
          <w:spacing w:val="-6"/>
          <w:kern w:val="2"/>
          <w:sz w:val="32"/>
          <w:szCs w:val="32"/>
          <w:u w:val="none"/>
          <w:lang w:val="en-US" w:eastAsia="zh-CN" w:bidi="ar-SA"/>
        </w:rPr>
        <w:t>炭基微生物菌剂、功能生物有机肥、水肥一体化专用肥料研制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contextualSpacing/>
        <w:jc w:val="both"/>
        <w:textAlignment w:val="auto"/>
        <w:rPr>
          <w:rFonts w:hint="eastAsia" w:ascii="Times New Roman" w:hAnsi="Times New Roman" w:eastAsia="仿宋_GB2312" w:cstheme="minorBidi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：</w:t>
      </w:r>
      <w:r>
        <w:rPr>
          <w:rFonts w:hint="eastAsia" w:ascii="Times New Roman" w:hAnsi="Times New Roman" w:eastAsia="仿宋_GB2312" w:cstheme="minorBidi"/>
          <w:spacing w:val="-6"/>
          <w:kern w:val="2"/>
          <w:sz w:val="32"/>
          <w:szCs w:val="32"/>
          <w:u w:val="none"/>
          <w:lang w:val="en-US" w:eastAsia="zh-CN" w:bidi="ar-SA"/>
        </w:rPr>
        <w:t>盐碱地土壤质量和产能提升等盐碱地综合利用关键技术研究，耐盐碱优势作物繁育及高效栽培技术研究，盐碱地农作物专用微生物菌肥研发与绿色增效示范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说明：此领域研究指南代码202由企业牵头申报。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三、农畜产品精深加工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Times New Roman" w:eastAsia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：</w:t>
      </w:r>
      <w:r>
        <w:rPr>
          <w:rFonts w:hint="eastAsia" w:ascii="仿宋_GB2312" w:hAnsi="Times New Roman" w:eastAsia="仿宋_GB2312"/>
          <w:sz w:val="32"/>
          <w:szCs w:val="32"/>
          <w:u w:val="none"/>
        </w:rPr>
        <w:t>农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u w:val="none"/>
          <w:lang w:val="en-US" w:eastAsia="zh-CN" w:bidi="ar-SA"/>
        </w:rPr>
        <w:t>畜</w:t>
      </w:r>
      <w:r>
        <w:rPr>
          <w:rFonts w:hint="eastAsia" w:ascii="仿宋_GB2312" w:hAnsi="Times New Roman" w:eastAsia="仿宋_GB2312"/>
          <w:sz w:val="32"/>
          <w:szCs w:val="32"/>
          <w:u w:val="none"/>
        </w:rPr>
        <w:t>产品</w:t>
      </w:r>
      <w:r>
        <w:rPr>
          <w:rFonts w:hint="eastAsia" w:ascii="仿宋_GB2312" w:hAnsi="Times New Roman" w:eastAsia="仿宋_GB2312"/>
          <w:sz w:val="32"/>
          <w:szCs w:val="32"/>
          <w:u w:val="none"/>
          <w:lang w:eastAsia="zh-CN"/>
        </w:rPr>
        <w:t>及副产物</w:t>
      </w:r>
      <w:r>
        <w:rPr>
          <w:rFonts w:hint="eastAsia" w:ascii="仿宋_GB2312" w:hAnsi="Times New Roman" w:eastAsia="仿宋_GB2312"/>
          <w:sz w:val="32"/>
          <w:szCs w:val="32"/>
          <w:u w:val="none"/>
        </w:rPr>
        <w:t>精深加工</w:t>
      </w:r>
      <w:r>
        <w:rPr>
          <w:rFonts w:hint="eastAsia" w:ascii="仿宋_GB2312" w:hAnsi="Times New Roman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  <w:u w:val="none"/>
          <w:lang w:val="en-US" w:eastAsia="zh-CN"/>
        </w:rPr>
        <w:t>高值化利用</w:t>
      </w:r>
      <w:r>
        <w:rPr>
          <w:rFonts w:hint="eastAsia" w:ascii="仿宋_GB2312" w:hAnsi="Times New Roman" w:eastAsia="仿宋_GB2312"/>
          <w:sz w:val="32"/>
          <w:szCs w:val="32"/>
          <w:u w:val="none"/>
        </w:rPr>
        <w:t>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</w:rPr>
        <w:t>：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u w:val="none"/>
          <w:lang w:val="en-US" w:eastAsia="zh-CN" w:bidi="ar-SA"/>
        </w:rPr>
        <w:t>农畜产品品质控制（安全生产）、减损保质技术研究与应用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四、智慧农牧业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642" w:firstLineChars="200"/>
        <w:contextualSpacing/>
        <w:jc w:val="both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" w:eastAsia="仿宋_GB2312" w:cs="楷体_GB2312"/>
          <w:b/>
          <w:bCs/>
          <w:color w:val="000000"/>
          <w:sz w:val="32"/>
          <w:szCs w:val="32"/>
          <w:u w:val="none"/>
        </w:rPr>
        <w:t>研究方向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32"/>
          <w:szCs w:val="32"/>
          <w:u w:val="none"/>
          <w:lang w:val="en-US" w:eastAsia="zh-CN" w:bidi="ar-SA"/>
        </w:rPr>
        <w:t>（指南代码401）</w:t>
      </w:r>
      <w:r>
        <w:rPr>
          <w:rFonts w:hint="eastAsia" w:ascii="仿宋_GB2312" w:hAnsi="仿宋" w:eastAsia="仿宋_GB2312" w:cs="楷体_GB2312"/>
          <w:b/>
          <w:bCs/>
          <w:color w:val="000000"/>
          <w:sz w:val="32"/>
          <w:szCs w:val="32"/>
          <w:u w:val="none"/>
        </w:rPr>
        <w:t>：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u w:val="none"/>
          <w:lang w:val="en-US" w:eastAsia="zh-CN" w:bidi="ar-SA"/>
        </w:rPr>
        <w:t>智慧型农牧业生产技术研发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theme="minorBidi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" w:eastAsia="仿宋_GB2312" w:cs="楷体_GB2312"/>
          <w:b/>
          <w:bCs/>
          <w:color w:val="000000"/>
          <w:sz w:val="32"/>
          <w:szCs w:val="32"/>
          <w:u w:val="none"/>
        </w:rPr>
        <w:t>研究方向</w:t>
      </w:r>
      <w:r>
        <w:rPr>
          <w:rFonts w:hint="eastAsia" w:ascii="仿宋_GB2312" w:eastAsia="仿宋_GB2312" w:hAnsiTheme="minorHAnsi" w:cstheme="minorBidi"/>
          <w:b/>
          <w:color w:val="000000"/>
          <w:kern w:val="2"/>
          <w:sz w:val="32"/>
          <w:szCs w:val="32"/>
          <w:u w:val="none"/>
          <w:lang w:val="en-US" w:eastAsia="zh-CN" w:bidi="ar-SA"/>
        </w:rPr>
        <w:t>（指南代码402）</w:t>
      </w:r>
      <w:r>
        <w:rPr>
          <w:rFonts w:hint="eastAsia" w:ascii="仿宋_GB2312" w:hAnsi="仿宋" w:eastAsia="仿宋_GB2312" w:cs="楷体_GB2312"/>
          <w:b/>
          <w:bCs/>
          <w:color w:val="000000"/>
          <w:sz w:val="32"/>
          <w:szCs w:val="32"/>
          <w:u w:val="none"/>
        </w:rPr>
        <w:t>：</w:t>
      </w:r>
      <w:r>
        <w:rPr>
          <w:rFonts w:hint="eastAsia" w:ascii="仿宋_GB2312" w:hAnsi="Times New Roman" w:eastAsia="仿宋_GB2312" w:cstheme="minorBidi"/>
          <w:kern w:val="2"/>
          <w:sz w:val="32"/>
          <w:szCs w:val="32"/>
          <w:u w:val="none"/>
          <w:lang w:val="en-US" w:eastAsia="zh-CN" w:bidi="ar-SA"/>
        </w:rPr>
        <w:t>农牧业装备升级与全程机械化生产技术研究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生态保护与修复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b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/>
          <w:sz w:val="32"/>
          <w:szCs w:val="32"/>
          <w:u w:val="none"/>
        </w:rPr>
        <w:t>（指南代码</w:t>
      </w:r>
      <w:r>
        <w:rPr>
          <w:rFonts w:hint="eastAsia" w:ascii="仿宋_GB2312" w:eastAsia="仿宋_GB2312"/>
          <w:b/>
          <w:color w:val="000000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b/>
          <w:color w:val="000000"/>
          <w:sz w:val="32"/>
          <w:szCs w:val="32"/>
          <w:u w:val="none"/>
        </w:rPr>
        <w:t>0</w:t>
      </w:r>
      <w:r>
        <w:rPr>
          <w:rFonts w:ascii="仿宋_GB2312" w:eastAsia="仿宋_GB2312"/>
          <w:b/>
          <w:color w:val="000000"/>
          <w:sz w:val="32"/>
          <w:szCs w:val="32"/>
          <w:u w:val="none"/>
        </w:rPr>
        <w:t>1</w:t>
      </w:r>
      <w:r>
        <w:rPr>
          <w:rFonts w:hint="eastAsia" w:ascii="仿宋_GB2312" w:hAnsi="仿宋" w:eastAsia="仿宋_GB2312"/>
          <w:b/>
          <w:bCs/>
          <w:sz w:val="32"/>
          <w:szCs w:val="32"/>
          <w:u w:val="none"/>
        </w:rPr>
        <w:t>）</w:t>
      </w:r>
      <w:r>
        <w:rPr>
          <w:rFonts w:hint="eastAsia" w:ascii="仿宋_GB2312" w:hAnsi="仿宋" w:eastAsia="仿宋_GB2312"/>
          <w:b/>
          <w:sz w:val="32"/>
          <w:szCs w:val="32"/>
          <w:u w:val="none"/>
        </w:rPr>
        <w:t>：</w:t>
      </w:r>
      <w:r>
        <w:rPr>
          <w:rFonts w:hint="eastAsia" w:ascii="仿宋_GB2312" w:hAnsi="仿宋" w:eastAsia="仿宋_GB2312"/>
          <w:b w:val="0"/>
          <w:bCs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none"/>
        </w:rPr>
        <w:t>三北</w:t>
      </w:r>
      <w:r>
        <w:rPr>
          <w:rFonts w:hint="eastAsia" w:ascii="仿宋_GB2312" w:hAnsi="仿宋" w:eastAsia="仿宋_GB2312"/>
          <w:b w:val="0"/>
          <w:bCs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工程、黄河“几字弯”攻坚战关键技术及防沙治沙机械装备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与应用示范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光伏+生态治理配套技术研究与应用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/>
          <w:sz w:val="32"/>
          <w:szCs w:val="32"/>
          <w:u w:val="none"/>
        </w:rPr>
        <w:t>（指南代码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  <w:u w:val="none"/>
        </w:rPr>
        <w:t>50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  <w:u w:val="none"/>
        </w:rPr>
        <w:t>）</w:t>
      </w:r>
      <w:r>
        <w:rPr>
          <w:rFonts w:hint="eastAsia" w:ascii="仿宋_GB2312" w:hAnsi="仿宋" w:eastAsia="仿宋_GB2312"/>
          <w:b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荒漠化草原生态修复技术研究与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应用，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绿色矿山生态修复及综合治理应用研究与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u w:val="none"/>
        </w:rPr>
        <w:t>研究方向（指南代码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  <w:u w:val="none"/>
        </w:rPr>
        <w:t>50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" w:eastAsia="仿宋_GB2312"/>
          <w:b/>
          <w:bCs/>
          <w:sz w:val="32"/>
          <w:szCs w:val="32"/>
          <w:u w:val="none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乌梁素海生态特性研究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生物多样性保护与有害生物安全监测、防控技术研究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ascii="黑体" w:hAnsi="黑体" w:eastAsia="黑体"/>
          <w:sz w:val="32"/>
          <w:szCs w:val="32"/>
          <w:u w:val="none"/>
        </w:rPr>
      </w:pPr>
      <w:r>
        <w:rPr>
          <w:rFonts w:hint="eastAsia" w:ascii="黑体" w:hAnsi="黑体" w:eastAsia="黑体"/>
          <w:sz w:val="32"/>
          <w:szCs w:val="32"/>
          <w:u w:val="none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  <w:u w:val="none"/>
        </w:rPr>
        <w:t>、资源节约集约利用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研究方向（指南代码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  <w:u w:val="none"/>
        </w:rPr>
        <w:t>0</w:t>
      </w:r>
      <w:r>
        <w:rPr>
          <w:rFonts w:hint="eastAsia" w:ascii="仿宋_GB2312" w:hAnsi="宋体" w:eastAsia="仿宋_GB2312" w:cs="宋体"/>
          <w:b/>
          <w:bCs/>
          <w:kern w:val="36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  <w:u w:val="none"/>
        </w:rPr>
        <w:t>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水资源可持续利用与节水关键技术及装备的研发与应用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研究方向（指南代码602）：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废弃物、垃圾等无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u w:val="none"/>
          <w:lang w:val="en-US" w:eastAsia="zh-CN" w:bidi="ar-SA"/>
        </w:rPr>
        <w:t>害化处理、资源化（循环）利用技术研究与应用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eastAsia="仿宋_GB2312"/>
          <w:b/>
          <w:bCs/>
          <w:sz w:val="32"/>
          <w:szCs w:val="32"/>
          <w:u w:val="none"/>
        </w:rPr>
        <w:t>研究方向（指南代码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 w:bidi="ar-SA"/>
        </w:rPr>
        <w:t>603</w:t>
      </w:r>
      <w:r>
        <w:rPr>
          <w:rFonts w:hint="eastAsia" w:ascii="仿宋_GB2312" w:eastAsia="仿宋_GB2312"/>
          <w:b/>
          <w:bCs/>
          <w:sz w:val="32"/>
          <w:szCs w:val="32"/>
          <w:u w:val="none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绿色低碳建筑、材料、装备低碳化、节能化技术研究与应用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u w:val="none"/>
          <w:shd w:val="clear" w:fill="FFFFFF"/>
          <w:lang w:val="en-US" w:eastAsia="zh-CN" w:bidi="ar-SA"/>
        </w:rPr>
        <w:t>七、医疗健康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701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中（蒙）药材种质收集创新与良种繁育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702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以食药同源地道药材为原料，开展大健康产品（保健、功能性食品或康养产品）开发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703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临床医学、中（蒙）医、中（蒙）西医结合防治重大疾病、疑难疾病等优势病种的临床评价研究与基础研究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704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snapToGrid w:val="0"/>
          <w:color w:val="000000"/>
          <w:kern w:val="0"/>
          <w:sz w:val="32"/>
          <w:szCs w:val="32"/>
          <w:u w:val="none"/>
          <w:lang w:val="en-US" w:eastAsia="zh-CN" w:bidi="ar-SA"/>
        </w:rPr>
        <w:t>常见多发病防治适宜技术评价与推广研究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705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本地区常见过敏性疾病、流行病学防治技术研究与转化应用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 w:val="0"/>
          <w:kern w:val="2"/>
          <w:sz w:val="32"/>
          <w:szCs w:val="32"/>
          <w:u w:val="none"/>
          <w:lang w:val="en-US" w:eastAsia="zh-CN" w:bidi="ar-SA"/>
        </w:rPr>
        <w:t>研究方向（指南代码706）：</w:t>
      </w:r>
      <w:r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基于人工智能、大数据等智慧医疗技术的研究与应用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theme="minorBidi"/>
          <w:b/>
          <w:bCs w:val="0"/>
          <w:kern w:val="2"/>
          <w:sz w:val="32"/>
          <w:szCs w:val="32"/>
          <w:u w:val="none"/>
          <w:lang w:val="en-US" w:eastAsia="zh-CN" w:bidi="ar-SA"/>
        </w:rPr>
        <w:t>研究方向（指南代码707）：</w:t>
      </w:r>
      <w:r>
        <w:rPr>
          <w:rFonts w:hint="eastAsia" w:ascii="仿宋_GB2312" w:hAnsi="宋体" w:eastAsia="仿宋_GB2312" w:cstheme="minorBidi"/>
          <w:b w:val="0"/>
          <w:bCs/>
          <w:color w:val="auto"/>
          <w:kern w:val="2"/>
          <w:sz w:val="32"/>
          <w:szCs w:val="32"/>
          <w:u w:val="none"/>
          <w:lang w:val="en-US" w:eastAsia="zh-CN" w:bidi="ar-SA"/>
        </w:rPr>
        <w:t>适老（银发经济）、助残等领域技术研究与应用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说明：此领域研究指南代码701、702由企业牵头申报。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u w:val="none"/>
          <w:lang w:eastAsia="zh-CN"/>
        </w:rPr>
        <w:t>公共安全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801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kern w:val="0"/>
          <w:sz w:val="32"/>
          <w:szCs w:val="32"/>
          <w:u w:val="none"/>
          <w:lang w:eastAsia="zh-CN"/>
        </w:rPr>
        <w:t>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、药品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安全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技术研发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802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气象、地震、地质灾害等防灾减灾领域技术研究与应用，人工影响天气关键技术研究与应用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803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  <w:t>安全生产技术研究、应急救援装备研发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b/>
          <w:bCs w:val="0"/>
          <w:sz w:val="32"/>
          <w:szCs w:val="32"/>
          <w:u w:val="none"/>
        </w:rPr>
        <w:t>研究方向</w:t>
      </w:r>
      <w:r>
        <w:rPr>
          <w:rFonts w:hint="eastAsia" w:ascii="仿宋_GB2312" w:hAnsi="仿宋" w:eastAsia="仿宋_GB2312"/>
          <w:b/>
          <w:bCs w:val="0"/>
          <w:kern w:val="0"/>
          <w:sz w:val="32"/>
          <w:szCs w:val="32"/>
          <w:u w:val="none"/>
        </w:rPr>
        <w:t>（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指南代码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val="en-US" w:eastAsia="zh-CN"/>
        </w:rPr>
        <w:t>804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</w:rPr>
        <w:t>）</w:t>
      </w:r>
      <w:r>
        <w:rPr>
          <w:rFonts w:hint="eastAsia" w:ascii="仿宋_GB2312" w:hAnsi="Times New Roman" w:eastAsia="仿宋_GB2312" w:cs="Times New Roman"/>
          <w:b/>
          <w:bCs w:val="0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大气、噪声、土壤等环境污染防治技术研究与应用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</w:rPr>
        <w:t>新材料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研究方</w:t>
      </w:r>
      <w:r>
        <w:rPr>
          <w:rFonts w:hint="eastAsia" w:ascii="仿宋_GB2312" w:hAnsi="仿宋_GB2312" w:eastAsia="仿宋_GB2312" w:cs="仿宋_GB2312"/>
          <w:b/>
          <w:bCs w:val="0"/>
          <w:snapToGrid/>
          <w:color w:val="auto"/>
          <w:kern w:val="44"/>
          <w:sz w:val="32"/>
          <w:szCs w:val="32"/>
          <w:lang w:val="en-US" w:eastAsia="zh-CN" w:bidi="ar-SA"/>
        </w:rPr>
        <w:t>向（指南代码901）：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石墨、多晶硅、蓝宝石、</w:t>
      </w:r>
      <w:r>
        <w:rPr>
          <w:rFonts w:hint="default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生物基长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碳</w:t>
      </w:r>
      <w:r>
        <w:rPr>
          <w:rFonts w:hint="default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链二元酸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等新材料制备技术研究与应用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研究方</w:t>
      </w:r>
      <w:r>
        <w:rPr>
          <w:rFonts w:hint="eastAsia" w:ascii="仿宋_GB2312" w:hAnsi="仿宋_GB2312" w:eastAsia="仿宋_GB2312" w:cs="仿宋_GB2312"/>
          <w:b/>
          <w:bCs w:val="0"/>
          <w:snapToGrid/>
          <w:color w:val="auto"/>
          <w:kern w:val="44"/>
          <w:sz w:val="32"/>
          <w:szCs w:val="32"/>
          <w:lang w:val="en-US" w:eastAsia="zh-CN" w:bidi="ar-SA"/>
        </w:rPr>
        <w:t>向（指南代码902）：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高性能复合材料制备技术研究与应用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十、新能源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1001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氢能、风光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储能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、光热储能等利用技术研究与应用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1002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napToGrid/>
          <w:color w:val="auto"/>
          <w:kern w:val="44"/>
          <w:sz w:val="32"/>
          <w:szCs w:val="32"/>
          <w:lang w:val="en-US" w:eastAsia="zh-CN" w:bidi="ar-SA"/>
        </w:rPr>
        <w:t>煤炭清洁高效利用技术研究与应用，二氧化碳减排及其高值化利用研发与示范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1003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碳捕集、利用与封存技术研究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eastAsia="zh-CN"/>
        </w:rPr>
        <w:t>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1004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有色金属冶炼固体废弃物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废杂金属高质再生利用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技术研究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十一、数字经济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研究方向（指南代码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/>
          <w:bCs/>
          <w:sz w:val="32"/>
          <w:szCs w:val="32"/>
        </w:rPr>
        <w:t>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bCs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围绕新一代信息技术创新与绿色能源数智化融合，重点推进风光电场智能运维、电网负荷AI优化调度及产业链智能监控等技术创新，构建“源网荷储”一体化智慧能源系统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研究方向（指南代码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b/>
          <w:bCs/>
          <w:sz w:val="32"/>
          <w:szCs w:val="32"/>
        </w:rPr>
        <w:t>0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/>
          <w:bCs/>
          <w:sz w:val="32"/>
          <w:szCs w:val="32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聚焦人工智能、物联网、智能算力、大数据应用与分析、交通运输、云计算、区块链、技术创新平台等重点领域，开展智慧城市、智慧政务、智慧社区、智慧物流、智慧仓储、智慧工厂、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智慧医疗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等智慧系统、数据平台的研发应用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-SA"/>
        </w:rPr>
        <w:t>十二、低空经济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after="0" w:line="600" w:lineRule="exact"/>
        <w:ind w:left="0" w:leftChars="0" w:firstLine="642" w:firstLineChars="200"/>
        <w:jc w:val="both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研究方向（指南代码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1201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）：</w:t>
      </w:r>
      <w:r>
        <w:rPr>
          <w:rFonts w:hint="eastAsia" w:ascii="仿宋_GB2312" w:eastAsia="仿宋_GB2312"/>
          <w:sz w:val="32"/>
          <w:szCs w:val="32"/>
          <w:highlight w:val="none"/>
        </w:rPr>
        <w:t>支持低空经济科技创新，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eastAsia="仿宋_GB2312"/>
          <w:sz w:val="32"/>
          <w:szCs w:val="32"/>
          <w:highlight w:val="none"/>
        </w:rPr>
        <w:t>低空应用场景，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如无人机航拍、物流配送、测绘、设备维修维护、农田监测、应急救援、气象监测预报、无人机设备巡视等</w:t>
      </w:r>
      <w:r>
        <w:rPr>
          <w:rFonts w:hint="eastAsia" w:ascii="仿宋_GB2312" w:eastAsia="仿宋_GB2312"/>
          <w:sz w:val="32"/>
          <w:szCs w:val="32"/>
          <w:highlight w:val="none"/>
        </w:rPr>
        <w:t>相关技术研究与应用示范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十三、现代装备制造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/>
        </w:rPr>
        <w:t>1301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高端风机制造全产业链关键技术及关键配件产品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、高效太阳能光伏组件、</w:t>
      </w:r>
      <w:r>
        <w:rPr>
          <w:rFonts w:hint="eastAsia" w:ascii="仿宋_GB2312" w:hAnsi="Times New Roman" w:eastAsia="仿宋_GB2312" w:cs="Times New Roman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-SA"/>
        </w:rPr>
        <w:t>新型风电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储能装置、风电场监控及风电控制系统辅助设备等关键技术研究与应用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研究方向（指南代码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  <w:lang w:val="en-US" w:eastAsia="zh-CN"/>
        </w:rPr>
        <w:t>1302</w:t>
      </w: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）：</w:t>
      </w:r>
      <w:r>
        <w:rPr>
          <w:rFonts w:hint="eastAsia" w:ascii="仿宋_GB2312" w:eastAsia="仿宋_GB2312"/>
          <w:sz w:val="32"/>
          <w:szCs w:val="32"/>
          <w:highlight w:val="none"/>
        </w:rPr>
        <w:t>智能机器人和高精密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加工制造</w:t>
      </w:r>
      <w:r>
        <w:rPr>
          <w:rFonts w:hint="eastAsia" w:ascii="仿宋_GB2312" w:eastAsia="仿宋_GB2312"/>
          <w:sz w:val="32"/>
          <w:szCs w:val="32"/>
          <w:highlight w:val="none"/>
        </w:rPr>
        <w:t>装备关键技术研究与应用示范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十四、冶金化工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/>
        </w:rPr>
        <w:t>1401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大宗固废高值化利用、动力蓄电池回收利用、废杂金属高质再生利用、可再生资源加工利用等关键技术研究与应用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1402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有色金属探采选炼一体化和精细化加工、伴生贵金属提取、有价金属回收等关键技术研究与应用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十五、生物医药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研究方向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（指南代码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lang w:val="en-US" w:eastAsia="zh-CN"/>
        </w:rPr>
        <w:t>1501</w:t>
      </w: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生物合成药、生物兽药新产品开发及关键技术研究与应用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十六、文化与科技融合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after="0"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研究方向（指南代码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1601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）：</w:t>
      </w:r>
      <w:r>
        <w:rPr>
          <w:rFonts w:hint="eastAsia" w:ascii="仿宋_GB2312" w:hAnsi="仿宋" w:eastAsia="仿宋_GB2312"/>
          <w:sz w:val="32"/>
          <w:szCs w:val="32"/>
        </w:rPr>
        <w:t>基于“互联网+旅游”“云展览”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虚拟导游、实景导览、智能行程规划等</w:t>
      </w:r>
      <w:r>
        <w:rPr>
          <w:rFonts w:hint="eastAsia" w:ascii="仿宋_GB2312" w:hAnsi="仿宋" w:eastAsia="仿宋_GB2312"/>
          <w:sz w:val="32"/>
          <w:szCs w:val="32"/>
        </w:rPr>
        <w:t>支撑文化产业发展的关键技术研究与应用示范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spacing w:before="0" w:after="0" w:line="600" w:lineRule="exact"/>
        <w:ind w:left="0" w:leftChars="0" w:firstLine="642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研究方向（指南代码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1602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）：</w:t>
      </w:r>
      <w:r>
        <w:rPr>
          <w:rFonts w:hint="eastAsia" w:ascii="仿宋_GB2312" w:hAnsi="仿宋" w:eastAsia="仿宋_GB2312"/>
          <w:sz w:val="32"/>
          <w:szCs w:val="32"/>
        </w:rPr>
        <w:t>运用先进信息技术传承弘扬</w:t>
      </w:r>
      <w:r>
        <w:rPr>
          <w:rFonts w:hint="eastAsia" w:ascii="仿宋_GB2312" w:hAnsi="仿宋" w:eastAsia="仿宋_GB2312"/>
          <w:sz w:val="32"/>
          <w:szCs w:val="32"/>
          <w:u w:val="none"/>
          <w:lang w:eastAsia="zh-CN"/>
        </w:rPr>
        <w:t>乌拉特</w:t>
      </w:r>
      <w:r>
        <w:rPr>
          <w:rFonts w:hint="eastAsia" w:ascii="仿宋_GB2312" w:hAnsi="仿宋" w:eastAsia="仿宋_GB2312"/>
          <w:sz w:val="32"/>
          <w:szCs w:val="32"/>
          <w:u w:val="none"/>
        </w:rPr>
        <w:t>优秀传统文化，</w:t>
      </w:r>
      <w:r>
        <w:rPr>
          <w:rFonts w:hint="eastAsia" w:ascii="仿宋_GB2312" w:hAnsi="仿宋" w:eastAsia="仿宋_GB2312"/>
          <w:sz w:val="32"/>
          <w:szCs w:val="32"/>
        </w:rPr>
        <w:t>将文化元素与新型产品相融合的研究开发与示范推广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u w:val="none"/>
          <w:lang w:val="en-US" w:eastAsia="zh-CN"/>
        </w:rPr>
        <w:t xml:space="preserve">    说明：此领域研究由企业牵头申报。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十七、军民融合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研究方向（指南代码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1701</w:t>
      </w:r>
      <w:r>
        <w:rPr>
          <w:rFonts w:hint="eastAsia" w:ascii="仿宋_GB2312" w:eastAsia="仿宋_GB2312"/>
          <w:b/>
          <w:bCs/>
          <w:sz w:val="32"/>
          <w:szCs w:val="32"/>
        </w:rPr>
        <w:t>）：</w:t>
      </w:r>
      <w:r>
        <w:rPr>
          <w:rFonts w:hint="eastAsia" w:ascii="仿宋_GB2312" w:eastAsia="仿宋_GB2312"/>
          <w:sz w:val="32"/>
          <w:szCs w:val="32"/>
        </w:rPr>
        <w:t>围绕</w:t>
      </w:r>
      <w:r>
        <w:rPr>
          <w:rFonts w:hint="eastAsia" w:ascii="仿宋_GB2312" w:eastAsia="仿宋_GB2312"/>
          <w:sz w:val="32"/>
          <w:szCs w:val="32"/>
          <w:lang w:eastAsia="zh-CN"/>
        </w:rPr>
        <w:t>食品深加工、</w:t>
      </w:r>
      <w:r>
        <w:rPr>
          <w:rFonts w:hint="eastAsia" w:ascii="仿宋_GB2312" w:eastAsia="仿宋_GB2312"/>
          <w:sz w:val="32"/>
          <w:szCs w:val="32"/>
        </w:rPr>
        <w:t>新材料、先进装备制造、信息技术等领域开展军民融合创新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开展关键技术攻关和成果转化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研究方向（指南代码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1702</w:t>
      </w:r>
      <w:r>
        <w:rPr>
          <w:rFonts w:hint="eastAsia" w:ascii="仿宋_GB2312" w:eastAsia="仿宋_GB2312"/>
          <w:b/>
          <w:bCs/>
          <w:sz w:val="32"/>
          <w:szCs w:val="32"/>
        </w:rPr>
        <w:t>）：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围绕科技兴警，以</w:t>
      </w:r>
      <w:r>
        <w:rPr>
          <w:rFonts w:hint="eastAsia" w:ascii="仿宋_GB2312" w:eastAsia="仿宋_GB2312"/>
          <w:color w:val="000000"/>
          <w:sz w:val="32"/>
          <w:szCs w:val="32"/>
        </w:rPr>
        <w:t>构建反无人机探测分系统、指挥控制系统、反制系统以及辅助训练模拟仿真推演平台，开发多传感器数据融合、目标智能识别、自动化指挥控制/任务管理、多反制手段综合等无人机反制关键技术科研攻关支撑平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十八、科技服务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研究方向</w:t>
      </w:r>
      <w:r>
        <w:rPr>
          <w:rFonts w:hint="eastAsia" w:ascii="仿宋_GB2312" w:eastAsia="仿宋_GB2312"/>
          <w:b/>
          <w:bCs/>
          <w:sz w:val="32"/>
          <w:szCs w:val="32"/>
        </w:rPr>
        <w:t>（指南代码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1801</w:t>
      </w:r>
      <w:r>
        <w:rPr>
          <w:rFonts w:hint="eastAsia" w:ascii="仿宋_GB2312" w:eastAsia="仿宋_GB2312"/>
          <w:b/>
          <w:bCs/>
          <w:sz w:val="32"/>
          <w:szCs w:val="32"/>
        </w:rPr>
        <w:t>）：</w:t>
      </w:r>
      <w:r>
        <w:rPr>
          <w:rFonts w:hint="eastAsia" w:ascii="仿宋_GB2312" w:eastAsia="仿宋_GB2312"/>
          <w:color w:val="000000"/>
          <w:sz w:val="32"/>
          <w:szCs w:val="32"/>
        </w:rPr>
        <w:t>围绕科技服务业高质量发展，聚焦技术转移机构、科技中介服务、技术服务等领域的体系化建设，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开展模式创新、平台建设等研究，</w:t>
      </w:r>
      <w:r>
        <w:rPr>
          <w:rFonts w:hint="eastAsia" w:ascii="仿宋_GB2312" w:eastAsia="仿宋_GB2312"/>
          <w:color w:val="000000"/>
          <w:sz w:val="32"/>
          <w:szCs w:val="32"/>
        </w:rPr>
        <w:t>推动科技服务与产业链深度融合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420" w:firstLineChars="200"/>
        <w:jc w:val="left"/>
        <w:textAlignment w:val="auto"/>
        <w:rPr>
          <w:rFonts w:hint="eastAsia" w:eastAsia="宋体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bidi w:val="0"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青年人才科研项目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研究方向</w:t>
      </w:r>
      <w:r>
        <w:rPr>
          <w:rFonts w:hint="eastAsia" w:ascii="仿宋_GB2312" w:eastAsia="仿宋_GB2312"/>
          <w:b/>
          <w:bCs/>
          <w:sz w:val="32"/>
          <w:szCs w:val="32"/>
        </w:rPr>
        <w:t>（指南代码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2001）</w:t>
      </w:r>
      <w:r>
        <w:rPr>
          <w:rFonts w:hint="eastAsia" w:ascii="楷体" w:hAnsi="楷体" w:eastAsia="楷体" w:cs="黑体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支持围绕全市科技“突围”11个重点点位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（种业、耕地地力提升、农畜产品精深加工、新能源、新材料、生物医药、装备制造、冶金化工、农业节水控水、防沙治沙、流域生态治理）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和全市19条重点产业链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（风电装备、光伏装备、氢能储能、铜锌深加工、农机装备、煤基新材料、肉牛、肉羊、向日葵、黄柿子、奶业、辣椒、华莱士、玉米、羊绒、生物医药、小麦、加工型蔬菜、石油）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等领域开展基础研究、应用基础研究、战略前沿技术研究和科技成果转化应用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支持额度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每个项目财政拟支持额度不超过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申报要求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取得硕士及以上学位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且具有副高级以上专业技术职称或取得博士学位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，年龄不超过40周岁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（198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年1月1日以后出生）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，从事科学研究或专业技术工作3年以上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</w:rPr>
        <w:t>取得博士学位的不限工作年限</w:t>
      </w:r>
      <w:r>
        <w:rPr>
          <w:rFonts w:hint="eastAsia" w:ascii="楷体" w:hAnsi="楷体" w:eastAsia="楷体" w:cs="楷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项目执行期不超过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2041" w:right="1531" w:bottom="2041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县域创新能力提升专项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项目内容</w:t>
      </w:r>
      <w:r>
        <w:rPr>
          <w:rFonts w:hint="eastAsia" w:ascii="仿宋_GB2312" w:eastAsia="仿宋_GB2312"/>
          <w:b/>
          <w:bCs/>
          <w:sz w:val="32"/>
          <w:szCs w:val="32"/>
        </w:rPr>
        <w:t>（指南代码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3001）：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按照《内蒙古自治区县域科技创新能力提升行动实施方案》，重点开展产业技术创新、创新平台载体建设、科技成果转化服务体系建设、创新型企业培育、科技园区建设、科技人才和技能型引育、优化科技创新政策环境等科技创新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申报主体：</w:t>
      </w: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各旗县区科技管理部门所属事业单位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项目执行期：</w:t>
      </w:r>
      <w:r>
        <w:rPr>
          <w:rFonts w:hint="eastAsia" w:ascii="仿宋_GB2312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不超过一年。</w:t>
      </w:r>
    </w:p>
    <w:sectPr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JIJGtD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EAB77"/>
    <w:multiLevelType w:val="singleLevel"/>
    <w:tmpl w:val="FFBEAB77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433F2788"/>
    <w:multiLevelType w:val="singleLevel"/>
    <w:tmpl w:val="433F278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ODhiYzFiOTk4ZTEwYjFiMTc5MDIwZTJiNjcxY2IifQ=="/>
  </w:docVars>
  <w:rsids>
    <w:rsidRoot w:val="4A1947CF"/>
    <w:rsid w:val="02DA63DE"/>
    <w:rsid w:val="042750BD"/>
    <w:rsid w:val="05E05A34"/>
    <w:rsid w:val="157F214F"/>
    <w:rsid w:val="1B3F422A"/>
    <w:rsid w:val="1C5E5533"/>
    <w:rsid w:val="1E771C53"/>
    <w:rsid w:val="24124CA0"/>
    <w:rsid w:val="275F6280"/>
    <w:rsid w:val="2D763723"/>
    <w:rsid w:val="2E7E3B86"/>
    <w:rsid w:val="33E0082A"/>
    <w:rsid w:val="33F475C7"/>
    <w:rsid w:val="39FD5451"/>
    <w:rsid w:val="3A103EB8"/>
    <w:rsid w:val="3A2B43BC"/>
    <w:rsid w:val="3A5E6B4F"/>
    <w:rsid w:val="3BB7FE5F"/>
    <w:rsid w:val="3BDFBFA8"/>
    <w:rsid w:val="3DBA4D50"/>
    <w:rsid w:val="3FA333A6"/>
    <w:rsid w:val="3FDF6C29"/>
    <w:rsid w:val="43DD305D"/>
    <w:rsid w:val="4A1947CF"/>
    <w:rsid w:val="4B1E62B4"/>
    <w:rsid w:val="4BDF1A37"/>
    <w:rsid w:val="4DDFFC25"/>
    <w:rsid w:val="52EF62CB"/>
    <w:rsid w:val="58290EFA"/>
    <w:rsid w:val="5BFF9149"/>
    <w:rsid w:val="5C0A4D57"/>
    <w:rsid w:val="5E3E7547"/>
    <w:rsid w:val="5F5E79C0"/>
    <w:rsid w:val="5FBDEDF5"/>
    <w:rsid w:val="5FFFFFE1"/>
    <w:rsid w:val="614222FA"/>
    <w:rsid w:val="6BEF3DC0"/>
    <w:rsid w:val="6EA34E7D"/>
    <w:rsid w:val="6F5B88F4"/>
    <w:rsid w:val="6FFCE8CB"/>
    <w:rsid w:val="6FFE5F86"/>
    <w:rsid w:val="6FFFF6C0"/>
    <w:rsid w:val="73785FF7"/>
    <w:rsid w:val="759E684F"/>
    <w:rsid w:val="77547E12"/>
    <w:rsid w:val="779E65FE"/>
    <w:rsid w:val="77FD564A"/>
    <w:rsid w:val="7BF78437"/>
    <w:rsid w:val="7DFF0680"/>
    <w:rsid w:val="7E835B35"/>
    <w:rsid w:val="7F4E076F"/>
    <w:rsid w:val="7F9F697D"/>
    <w:rsid w:val="7FB5880B"/>
    <w:rsid w:val="7FBF2846"/>
    <w:rsid w:val="7FBF29ED"/>
    <w:rsid w:val="7FDE59AE"/>
    <w:rsid w:val="7FDF4F7B"/>
    <w:rsid w:val="7FDFB899"/>
    <w:rsid w:val="7FFBF8C2"/>
    <w:rsid w:val="97FDC482"/>
    <w:rsid w:val="9EFE04EE"/>
    <w:rsid w:val="A7FD21A1"/>
    <w:rsid w:val="B7EA6D1D"/>
    <w:rsid w:val="BEDB30AF"/>
    <w:rsid w:val="BFEFBB12"/>
    <w:rsid w:val="C0BDDF9F"/>
    <w:rsid w:val="DABA4B1A"/>
    <w:rsid w:val="DC7F50B6"/>
    <w:rsid w:val="DFF95860"/>
    <w:rsid w:val="DFFEE356"/>
    <w:rsid w:val="EBFF0AE6"/>
    <w:rsid w:val="EEDE5EF2"/>
    <w:rsid w:val="EF67BBC6"/>
    <w:rsid w:val="EF6FE613"/>
    <w:rsid w:val="EF7F4B6C"/>
    <w:rsid w:val="EFE77E93"/>
    <w:rsid w:val="F3701894"/>
    <w:rsid w:val="F4BF831E"/>
    <w:rsid w:val="F7CF7486"/>
    <w:rsid w:val="FCFFB257"/>
    <w:rsid w:val="FDF7BFA7"/>
    <w:rsid w:val="FEBFFA77"/>
    <w:rsid w:val="FF3FA920"/>
    <w:rsid w:val="FFA8FE42"/>
    <w:rsid w:val="FFDA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 w:val="0"/>
      <w:adjustRightInd w:val="0"/>
      <w:snapToGrid w:val="0"/>
      <w:spacing w:line="760" w:lineRule="exact"/>
      <w:ind w:left="28" w:leftChars="0" w:firstLine="567" w:firstLineChars="0"/>
      <w:outlineLvl w:val="1"/>
    </w:pPr>
    <w:rPr>
      <w:rFonts w:ascii="黑体" w:hAnsi="黑体" w:eastAsia="黑体" w:cs="Times New Roman"/>
      <w:bCs/>
      <w:snapToGrid w:val="0"/>
      <w:color w:val="000000"/>
      <w:kern w:val="0"/>
      <w:sz w:val="30"/>
      <w:szCs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p15"/>
    <w:basedOn w:val="1"/>
    <w:qFormat/>
    <w:uiPriority w:val="0"/>
    <w:pPr>
      <w:spacing w:before="100" w:after="100" w:line="240" w:lineRule="auto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1055</Words>
  <Characters>1128</Characters>
  <Lines>0</Lines>
  <Paragraphs>0</Paragraphs>
  <TotalTime>7</TotalTime>
  <ScaleCrop>false</ScaleCrop>
  <LinksUpToDate>false</LinksUpToDate>
  <CharactersWithSpaces>1128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2018-07-19T07:11:00Z</dcterms:created>
  <dc:creator>d</dc:creator>
  <cp:lastModifiedBy>user</cp:lastModifiedBy>
  <cp:lastPrinted>2024-07-04T11:28:00Z</cp:lastPrinted>
  <dcterms:modified xsi:type="dcterms:W3CDTF">2025-04-16T10:21:35Z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C596D364AA8349EC2F14FF67831CF632</vt:lpwstr>
  </property>
  <property fmtid="{D5CDD505-2E9C-101B-9397-08002B2CF9AE}" pid="4" name="KSOTemplateDocerSaveRecord">
    <vt:lpwstr>eyJoZGlkIjoiZTc2NGMwYTNiODkxODJiZWI2YWM4MWMzYmI1MzAwNTMiLCJ1c2VySWQiOiI0Mzc4MDUxNDUifQ==</vt:lpwstr>
  </property>
</Properties>
</file>