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08E5" w14:textId="62DCC808" w:rsidR="005538E9" w:rsidRPr="001D74E3" w:rsidRDefault="005538E9" w:rsidP="005538E9">
      <w:pPr>
        <w:widowControl/>
        <w:ind w:firstLineChars="0" w:firstLine="0"/>
        <w:jc w:val="left"/>
        <w:rPr>
          <w:rFonts w:ascii="仿宋_GB2312" w:eastAsia="仿宋_GB2312" w:cs="Times New Roman"/>
          <w:b/>
          <w:color w:val="000000" w:themeColor="text1"/>
          <w:sz w:val="32"/>
          <w:szCs w:val="32"/>
        </w:rPr>
      </w:pPr>
      <w:r w:rsidRPr="001D74E3">
        <w:rPr>
          <w:rFonts w:ascii="仿宋_GB2312" w:eastAsia="仿宋_GB2312" w:cs="Times New Roman" w:hint="eastAsia"/>
          <w:b/>
          <w:color w:val="000000" w:themeColor="text1"/>
          <w:sz w:val="32"/>
          <w:szCs w:val="32"/>
        </w:rPr>
        <w:t>附件1</w:t>
      </w:r>
    </w:p>
    <w:p w14:paraId="4AF2D4BD" w14:textId="77777777" w:rsidR="005538E9" w:rsidRPr="005538E9" w:rsidRDefault="005538E9" w:rsidP="005538E9">
      <w:pPr>
        <w:widowControl/>
        <w:ind w:firstLineChars="0" w:firstLine="0"/>
        <w:jc w:val="left"/>
        <w:rPr>
          <w:rFonts w:ascii="仿宋_GB2312" w:eastAsia="仿宋_GB2312" w:cs="Times New Roman"/>
          <w:color w:val="000000" w:themeColor="text1"/>
          <w:sz w:val="32"/>
          <w:szCs w:val="32"/>
        </w:rPr>
      </w:pPr>
    </w:p>
    <w:p w14:paraId="0BF54B51" w14:textId="0A8A7311" w:rsidR="00B33678" w:rsidRPr="003E7660" w:rsidRDefault="005538E9" w:rsidP="00524CC1">
      <w:pPr>
        <w:widowControl/>
        <w:snapToGrid w:val="0"/>
        <w:ind w:firstLineChars="0" w:firstLine="0"/>
        <w:jc w:val="center"/>
        <w:rPr>
          <w:rFonts w:eastAsia="方正小标宋简体" w:cs="Times New Roman"/>
          <w:color w:val="000000" w:themeColor="text1"/>
          <w:sz w:val="44"/>
          <w:szCs w:val="48"/>
        </w:rPr>
      </w:pPr>
      <w:r>
        <w:rPr>
          <w:rFonts w:eastAsia="方正小标宋简体" w:cs="Times New Roman" w:hint="eastAsia"/>
          <w:color w:val="000000" w:themeColor="text1"/>
          <w:sz w:val="44"/>
          <w:szCs w:val="48"/>
        </w:rPr>
        <w:t>2</w:t>
      </w:r>
      <w:r>
        <w:rPr>
          <w:rFonts w:eastAsia="方正小标宋简体" w:cs="Times New Roman"/>
          <w:color w:val="000000" w:themeColor="text1"/>
          <w:sz w:val="44"/>
          <w:szCs w:val="48"/>
        </w:rPr>
        <w:t>025</w:t>
      </w:r>
      <w:r>
        <w:rPr>
          <w:rFonts w:eastAsia="方正小标宋简体" w:cs="Times New Roman" w:hint="eastAsia"/>
          <w:color w:val="000000" w:themeColor="text1"/>
          <w:sz w:val="44"/>
          <w:szCs w:val="48"/>
        </w:rPr>
        <w:t>年</w:t>
      </w:r>
      <w:r w:rsidR="00B33678" w:rsidRPr="003E7660">
        <w:rPr>
          <w:rFonts w:eastAsia="方正小标宋简体" w:cs="Times New Roman" w:hint="eastAsia"/>
          <w:color w:val="000000" w:themeColor="text1"/>
          <w:sz w:val="44"/>
          <w:szCs w:val="48"/>
        </w:rPr>
        <w:t>自治区科技创新重大示范专项</w:t>
      </w:r>
    </w:p>
    <w:p w14:paraId="317DBA02" w14:textId="692C2C69" w:rsidR="008667FD" w:rsidRPr="003E7660" w:rsidRDefault="00B33678" w:rsidP="00524CC1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color w:val="000000" w:themeColor="text1"/>
          <w:sz w:val="44"/>
          <w:szCs w:val="48"/>
        </w:rPr>
      </w:pPr>
      <w:r w:rsidRPr="003E7660">
        <w:rPr>
          <w:rFonts w:eastAsia="方正小标宋简体" w:cs="Times New Roman" w:hint="eastAsia"/>
          <w:color w:val="000000" w:themeColor="text1"/>
          <w:sz w:val="44"/>
          <w:szCs w:val="48"/>
        </w:rPr>
        <w:t>（</w:t>
      </w:r>
      <w:bookmarkStart w:id="0" w:name="OLE_LINK19"/>
      <w:bookmarkStart w:id="1" w:name="OLE_LINK20"/>
      <w:r w:rsidRPr="003E7660">
        <w:rPr>
          <w:rFonts w:eastAsia="方正小标宋简体" w:cs="Times New Roman" w:hint="eastAsia"/>
          <w:color w:val="000000" w:themeColor="text1"/>
          <w:sz w:val="44"/>
          <w:szCs w:val="48"/>
        </w:rPr>
        <w:t>花粉症防治</w:t>
      </w:r>
      <w:bookmarkEnd w:id="0"/>
      <w:bookmarkEnd w:id="1"/>
      <w:r w:rsidRPr="003E7660">
        <w:rPr>
          <w:rFonts w:eastAsia="方正小标宋简体" w:cs="Times New Roman" w:hint="eastAsia"/>
          <w:color w:val="000000" w:themeColor="text1"/>
          <w:sz w:val="44"/>
          <w:szCs w:val="48"/>
        </w:rPr>
        <w:t>）</w:t>
      </w:r>
      <w:r w:rsidR="0050475D">
        <w:rPr>
          <w:rFonts w:eastAsia="方正小标宋简体" w:cs="Times New Roman" w:hint="eastAsia"/>
          <w:color w:val="000000" w:themeColor="text1"/>
          <w:sz w:val="44"/>
          <w:szCs w:val="48"/>
        </w:rPr>
        <w:t>“</w:t>
      </w:r>
      <w:r w:rsidR="0050475D">
        <w:rPr>
          <w:rFonts w:eastAsia="方正小标宋简体" w:cs="Times New Roman"/>
          <w:color w:val="000000" w:themeColor="text1"/>
          <w:sz w:val="44"/>
          <w:szCs w:val="48"/>
        </w:rPr>
        <w:t>揭榜挂</w:t>
      </w:r>
      <w:r w:rsidR="0050475D" w:rsidRPr="0050475D">
        <w:rPr>
          <w:rFonts w:ascii="方正小标宋简体" w:eastAsia="方正小标宋简体" w:cs="Times New Roman" w:hint="eastAsia"/>
          <w:color w:val="000000" w:themeColor="text1"/>
          <w:sz w:val="44"/>
          <w:szCs w:val="48"/>
        </w:rPr>
        <w:t>帅”</w:t>
      </w:r>
      <w:r w:rsidR="003E000D" w:rsidRPr="0050475D">
        <w:rPr>
          <w:rFonts w:ascii="方正小标宋简体" w:eastAsia="方正小标宋简体" w:cs="Times New Roman" w:hint="eastAsia"/>
          <w:color w:val="000000" w:themeColor="text1"/>
          <w:sz w:val="44"/>
          <w:szCs w:val="48"/>
        </w:rPr>
        <w:t>项</w:t>
      </w:r>
      <w:r w:rsidR="003E000D">
        <w:rPr>
          <w:rFonts w:eastAsia="方正小标宋简体" w:cs="Times New Roman" w:hint="eastAsia"/>
          <w:color w:val="000000" w:themeColor="text1"/>
          <w:sz w:val="44"/>
          <w:szCs w:val="48"/>
        </w:rPr>
        <w:t>目</w:t>
      </w:r>
      <w:r w:rsidR="00510A9D">
        <w:rPr>
          <w:rFonts w:eastAsia="方正小标宋简体" w:cs="Times New Roman" w:hint="eastAsia"/>
          <w:color w:val="000000" w:themeColor="text1"/>
          <w:sz w:val="44"/>
          <w:szCs w:val="48"/>
        </w:rPr>
        <w:t>技术</w:t>
      </w:r>
      <w:r w:rsidR="00510A9D">
        <w:rPr>
          <w:rFonts w:eastAsia="方正小标宋简体" w:cs="Times New Roman"/>
          <w:color w:val="000000" w:themeColor="text1"/>
          <w:sz w:val="44"/>
          <w:szCs w:val="48"/>
        </w:rPr>
        <w:t>榜单</w:t>
      </w:r>
    </w:p>
    <w:p w14:paraId="14EA2557" w14:textId="77777777" w:rsidR="00B33678" w:rsidRPr="003E7660" w:rsidRDefault="00B33678" w:rsidP="00510A9D">
      <w:pPr>
        <w:adjustRightInd w:val="0"/>
        <w:snapToGrid w:val="0"/>
        <w:spacing w:line="640" w:lineRule="exact"/>
        <w:ind w:firstLineChars="0" w:firstLine="0"/>
        <w:jc w:val="center"/>
        <w:rPr>
          <w:rFonts w:eastAsia="方正仿宋_GB2312" w:cs="Times New Roman"/>
          <w:color w:val="000000" w:themeColor="text1"/>
          <w:sz w:val="28"/>
          <w:szCs w:val="28"/>
        </w:rPr>
      </w:pPr>
    </w:p>
    <w:p w14:paraId="75A746BB" w14:textId="5306A9C8" w:rsidR="00B33678" w:rsidRPr="003E7660" w:rsidRDefault="009C6C15" w:rsidP="00510A9D">
      <w:pPr>
        <w:adjustRightInd w:val="0"/>
        <w:snapToGrid w:val="0"/>
        <w:spacing w:line="620" w:lineRule="exact"/>
        <w:ind w:firstLine="640"/>
        <w:rPr>
          <w:rFonts w:eastAsia="黑体" w:cs="Times New Roman"/>
          <w:color w:val="000000" w:themeColor="text1"/>
          <w:sz w:val="32"/>
          <w:szCs w:val="32"/>
        </w:rPr>
      </w:pPr>
      <w:r w:rsidRPr="003E7660">
        <w:rPr>
          <w:rFonts w:eastAsia="黑体" w:cs="Times New Roman" w:hint="eastAsia"/>
          <w:color w:val="000000" w:themeColor="text1"/>
          <w:sz w:val="32"/>
          <w:szCs w:val="32"/>
        </w:rPr>
        <w:t>一、</w:t>
      </w:r>
      <w:bookmarkStart w:id="2" w:name="OLE_LINK1"/>
      <w:r w:rsidRPr="003E7660">
        <w:rPr>
          <w:rFonts w:eastAsia="黑体" w:cs="Times New Roman" w:hint="eastAsia"/>
          <w:color w:val="000000" w:themeColor="text1"/>
          <w:sz w:val="32"/>
          <w:szCs w:val="32"/>
        </w:rPr>
        <w:t>内蒙古地区花粉致敏风险防控及</w:t>
      </w:r>
      <w:bookmarkEnd w:id="2"/>
      <w:r w:rsidRPr="003E7660">
        <w:rPr>
          <w:rFonts w:eastAsia="黑体" w:cs="Times New Roman" w:hint="eastAsia"/>
          <w:color w:val="000000" w:themeColor="text1"/>
          <w:sz w:val="32"/>
          <w:szCs w:val="32"/>
        </w:rPr>
        <w:t>预报预警体系建设</w:t>
      </w:r>
    </w:p>
    <w:p w14:paraId="614333C9" w14:textId="39E9E0F4" w:rsidR="009C6C15" w:rsidRPr="0010758D" w:rsidRDefault="004D39F3" w:rsidP="00510A9D">
      <w:pPr>
        <w:adjustRightInd w:val="0"/>
        <w:snapToGrid w:val="0"/>
        <w:spacing w:line="620" w:lineRule="exact"/>
        <w:ind w:firstLine="643"/>
        <w:outlineLvl w:val="2"/>
        <w:rPr>
          <w:rFonts w:eastAsia="楷体" w:cs="Times New Roman"/>
          <w:b/>
          <w:bCs/>
          <w:i/>
          <w:color w:val="000000" w:themeColor="text1"/>
          <w:sz w:val="32"/>
          <w:szCs w:val="32"/>
        </w:rPr>
      </w:pPr>
      <w:bookmarkStart w:id="3" w:name="OLE_LINK3"/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1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r w:rsidR="009C6C15"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研究内容</w:t>
      </w:r>
    </w:p>
    <w:p w14:paraId="0D279814" w14:textId="54D3B367" w:rsidR="00A12300" w:rsidRPr="00510A9D" w:rsidRDefault="00A12300" w:rsidP="00510A9D">
      <w:pPr>
        <w:spacing w:line="620" w:lineRule="exact"/>
        <w:ind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针对内蒙古地区花粉致敏风险防控和公众健康服务的重大需求，开展致敏植物生长发育及传播扩散机制研究，厘清典型区域致敏植物空间分布格局，开展致敏植物花粉抑制药剂和生物、物理、化学等防除技术方法研究，形成致敏植物有效防除方案，并在典型区域示范应用，从源头解决致敏花粉的产生、扩散以及特定区域花粉突发性爆发扩散等应急防控问题；开展花粉浓度监测技术标准研究，构建致敏花粉特征数据库与高精度分类算法，开展致敏植被精细分类与花粉排放强度反演技术研究，建立分季节、分物种的参数化排放模型，构建花粉浓度精细化预报技术；研究花粉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PM</w:t>
      </w:r>
      <w:r w:rsidR="00510A9D">
        <w:rPr>
          <w:rFonts w:eastAsia="仿宋_GB2312" w:cs="Times New Roman"/>
          <w:color w:val="000000" w:themeColor="text1"/>
          <w:sz w:val="32"/>
          <w:szCs w:val="32"/>
        </w:rPr>
        <w:t>2.5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、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O</w:t>
      </w:r>
      <w:r w:rsidR="00510A9D" w:rsidRPr="00514D55">
        <w:rPr>
          <w:rFonts w:eastAsia="仿宋_GB2312" w:cs="Times New Roman"/>
          <w:color w:val="000000" w:themeColor="text1"/>
          <w:sz w:val="32"/>
          <w:szCs w:val="32"/>
          <w:vertAlign w:val="subscript"/>
        </w:rPr>
        <w:t>3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等污染物的协同效应，构建暴露健康风险动态评估模型，确定健康风险阈值，研发风险分级与预警产品生成技术；开发健康气象服务平台，构建基于多终端产品发布系统和针对不同季节、不同区域的花粉过敏风险精准化防控技术体系。</w:t>
      </w:r>
    </w:p>
    <w:p w14:paraId="656AE568" w14:textId="08A2C20C" w:rsidR="009C6C15" w:rsidRPr="0010758D" w:rsidRDefault="004D39F3" w:rsidP="00510A9D">
      <w:pPr>
        <w:adjustRightInd w:val="0"/>
        <w:snapToGrid w:val="0"/>
        <w:spacing w:line="620" w:lineRule="exact"/>
        <w:ind w:firstLine="643"/>
        <w:outlineLvl w:val="2"/>
        <w:rPr>
          <w:rFonts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2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r w:rsidR="009C6C15"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考核指标</w:t>
      </w:r>
    </w:p>
    <w:p w14:paraId="07FE9B12" w14:textId="58966623" w:rsidR="00A12300" w:rsidRDefault="00A12300" w:rsidP="00510A9D">
      <w:pPr>
        <w:spacing w:line="620" w:lineRule="exact"/>
        <w:ind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lastRenderedPageBreak/>
        <w:t>编制内蒙古典型区域不同季节致敏植被花粉源清单、高致敏植被防控清单各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份；研制出花粉抑制剂至少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种，抑制效果达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80%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以上，研制出花粉扩散束缚</w:t>
      </w:r>
      <w:proofErr w:type="gramStart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剂至少</w:t>
      </w:r>
      <w:proofErr w:type="gramEnd"/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种，应急控制率达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80%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以上，形成致敏植物防除技术方案不少于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套，核心示范区面积不小于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1000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亩；研发内蒙古地区不同致敏植被花期和花粉浓度数值预报关键技术，预报时间分辨率不低于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小时，空间分辨率不低于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3</w:t>
      </w:r>
      <w:r w:rsidR="00DB1709">
        <w:rPr>
          <w:rFonts w:eastAsia="仿宋_GB2312" w:cs="Times New Roman" w:hint="eastAsia"/>
          <w:color w:val="000000" w:themeColor="text1"/>
          <w:sz w:val="32"/>
          <w:szCs w:val="32"/>
        </w:rPr>
        <w:t>公里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，并示范应用；建立花粉浓度与过敏人群暴露－反应关系，阐明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－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3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类关键大气污染物和花粉协同致敏作用机理，形成技术报告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份；部门业务化联合发布相关预报预警服务产品不低于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5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种，服务覆盖率达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90%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以上；形成花粉浓度监测、过敏性疾病精准防控技术指南或地方标准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－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3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项；在内蒙古典型区域开展花粉过敏风险管理技术体系多层次示范应用，并提交政策建议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－</w:t>
      </w:r>
      <w:r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项。</w:t>
      </w:r>
    </w:p>
    <w:bookmarkEnd w:id="3"/>
    <w:p w14:paraId="5FD120EA" w14:textId="7CE636F2" w:rsidR="00B33678" w:rsidRPr="00510A9D" w:rsidRDefault="004D39F3" w:rsidP="004D39F3">
      <w:pPr>
        <w:adjustRightInd w:val="0"/>
        <w:snapToGrid w:val="0"/>
        <w:spacing w:line="620" w:lineRule="exact"/>
        <w:ind w:firstLine="643"/>
        <w:outlineLvl w:val="2"/>
        <w:rPr>
          <w:rFonts w:eastAsia="仿宋_GB2312" w:cs="Times New Roman" w:hint="eastAsia"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3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r w:rsidR="00B33678"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实施期限</w:t>
      </w: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eastAsia="仿宋_GB2312" w:cs="Times New Roman"/>
          <w:color w:val="000000" w:themeColor="text1"/>
          <w:sz w:val="32"/>
          <w:szCs w:val="32"/>
        </w:rPr>
        <w:t>3</w:t>
      </w:r>
      <w:r>
        <w:rPr>
          <w:rFonts w:eastAsia="仿宋_GB2312" w:cs="Times New Roman" w:hint="eastAsia"/>
          <w:color w:val="000000" w:themeColor="text1"/>
          <w:sz w:val="32"/>
          <w:szCs w:val="32"/>
        </w:rPr>
        <w:t>年</w:t>
      </w:r>
    </w:p>
    <w:p w14:paraId="17C77CA5" w14:textId="392B0469" w:rsidR="00B33678" w:rsidRPr="00510A9D" w:rsidRDefault="004D39F3" w:rsidP="004D39F3">
      <w:pPr>
        <w:adjustRightInd w:val="0"/>
        <w:snapToGrid w:val="0"/>
        <w:spacing w:line="620" w:lineRule="exact"/>
        <w:ind w:firstLine="643"/>
        <w:outlineLvl w:val="2"/>
        <w:rPr>
          <w:rFonts w:eastAsia="仿宋_GB2312" w:cs="Times New Roman"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4.</w:t>
      </w:r>
      <w:proofErr w:type="gramStart"/>
      <w:r>
        <w:rPr>
          <w:rFonts w:eastAsia="楷体" w:cs="Times New Roman" w:hint="eastAsia"/>
          <w:b/>
          <w:bCs/>
          <w:color w:val="000000" w:themeColor="text1"/>
          <w:kern w:val="0"/>
          <w:sz w:val="32"/>
          <w:szCs w:val="32"/>
        </w:rPr>
        <w:t>拟支持</w:t>
      </w:r>
      <w:proofErr w:type="gramEnd"/>
      <w:r>
        <w:rPr>
          <w:rFonts w:eastAsia="楷体" w:cs="Times New Roman" w:hint="eastAsia"/>
          <w:b/>
          <w:bCs/>
          <w:color w:val="000000" w:themeColor="text1"/>
          <w:kern w:val="0"/>
          <w:sz w:val="32"/>
          <w:szCs w:val="32"/>
        </w:rPr>
        <w:t>资金额度：</w:t>
      </w:r>
      <w:r>
        <w:rPr>
          <w:rFonts w:eastAsia="仿宋_GB2312" w:cs="Times New Roman" w:hint="eastAsia"/>
          <w:kern w:val="0"/>
          <w:sz w:val="32"/>
          <w:szCs w:val="32"/>
        </w:rPr>
        <w:t>自治区本级科技专项资金</w:t>
      </w:r>
      <w:r>
        <w:rPr>
          <w:rFonts w:eastAsia="仿宋_GB2312" w:cs="Times New Roman"/>
          <w:kern w:val="0"/>
          <w:sz w:val="32"/>
          <w:szCs w:val="32"/>
        </w:rPr>
        <w:t>5</w:t>
      </w:r>
      <w:r>
        <w:rPr>
          <w:rFonts w:eastAsia="仿宋_GB2312" w:cs="Times New Roman"/>
          <w:kern w:val="0"/>
          <w:sz w:val="32"/>
          <w:szCs w:val="32"/>
        </w:rPr>
        <w:t>00</w:t>
      </w:r>
      <w:r>
        <w:rPr>
          <w:rFonts w:eastAsia="仿宋_GB2312" w:cs="Times New Roman" w:hint="eastAsia"/>
          <w:kern w:val="0"/>
          <w:sz w:val="32"/>
          <w:szCs w:val="32"/>
        </w:rPr>
        <w:t>万元。</w:t>
      </w:r>
    </w:p>
    <w:p w14:paraId="5B0589E6" w14:textId="14811873" w:rsidR="00B33678" w:rsidRPr="00510A9D" w:rsidRDefault="00B33678" w:rsidP="00510A9D">
      <w:pPr>
        <w:adjustRightInd w:val="0"/>
        <w:snapToGrid w:val="0"/>
        <w:spacing w:line="620" w:lineRule="exact"/>
        <w:ind w:firstLine="640"/>
        <w:rPr>
          <w:rFonts w:eastAsia="黑体" w:cs="Times New Roman"/>
          <w:color w:val="000000" w:themeColor="text1"/>
          <w:sz w:val="32"/>
          <w:szCs w:val="32"/>
        </w:rPr>
      </w:pPr>
      <w:r w:rsidRPr="00510A9D">
        <w:rPr>
          <w:rFonts w:eastAsia="黑体" w:cs="Times New Roman" w:hint="eastAsia"/>
          <w:color w:val="000000" w:themeColor="text1"/>
          <w:sz w:val="32"/>
          <w:szCs w:val="32"/>
        </w:rPr>
        <w:t>二、</w:t>
      </w:r>
      <w:r w:rsidR="00CA635F" w:rsidRPr="00510A9D">
        <w:rPr>
          <w:rFonts w:eastAsia="黑体" w:cs="Times New Roman" w:hint="eastAsia"/>
          <w:color w:val="000000" w:themeColor="text1"/>
          <w:sz w:val="32"/>
          <w:szCs w:val="32"/>
        </w:rPr>
        <w:t>内蒙古地区花粉症诊治精准化体系构建与推广</w:t>
      </w:r>
    </w:p>
    <w:p w14:paraId="040F08BA" w14:textId="79053D04" w:rsidR="004D0630" w:rsidRPr="0010758D" w:rsidRDefault="00B536CF" w:rsidP="00510A9D">
      <w:pPr>
        <w:adjustRightInd w:val="0"/>
        <w:snapToGrid w:val="0"/>
        <w:spacing w:line="620" w:lineRule="exact"/>
        <w:ind w:firstLine="643"/>
        <w:rPr>
          <w:rFonts w:eastAsia="楷体" w:cs="Times New Roman"/>
          <w:b/>
          <w:bCs/>
          <w:color w:val="000000" w:themeColor="text1"/>
          <w:sz w:val="32"/>
          <w:szCs w:val="32"/>
        </w:rPr>
      </w:pPr>
      <w:bookmarkStart w:id="4" w:name="OLE_LINK2"/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1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r w:rsidR="004D0630"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研究内容</w:t>
      </w:r>
    </w:p>
    <w:bookmarkEnd w:id="4"/>
    <w:p w14:paraId="41CE8A73" w14:textId="2D1FA3AE" w:rsidR="004D0630" w:rsidRPr="00510A9D" w:rsidRDefault="00CA635F" w:rsidP="00510A9D">
      <w:pPr>
        <w:adjustRightInd w:val="0"/>
        <w:snapToGrid w:val="0"/>
        <w:spacing w:line="620" w:lineRule="exact"/>
        <w:ind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针对内蒙古地区花粉症聚集性高发，发病率逐年增加，并呈现年轻化趋势，重症患者</w:t>
      </w:r>
      <w:proofErr w:type="gramStart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占比较</w:t>
      </w:r>
      <w:proofErr w:type="gramEnd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高等未被满足的临床诊治需求，拟通过大规模临床样本的转录组、蛋白组、</w:t>
      </w:r>
      <w:proofErr w:type="gramStart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代谢组</w:t>
      </w:r>
      <w:proofErr w:type="gramEnd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和单细胞</w:t>
      </w:r>
      <w:proofErr w:type="gramStart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转录组</w:t>
      </w:r>
      <w:proofErr w:type="gramEnd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等多组学测序技术筛选区域性季节性花粉症的诊疗新靶标，针对新靶标开展功能和机制的验证研究，并实现创新性检测技术或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lastRenderedPageBreak/>
        <w:t>生物靶</w:t>
      </w:r>
      <w:proofErr w:type="gramStart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向药物</w:t>
      </w:r>
      <w:proofErr w:type="gramEnd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的临床转化与应用；构建花粉症患者的研究队列和生物样本库，探索花粉症患者生物标记物的精准分型、疾病严重性和</w:t>
      </w:r>
      <w:r w:rsidR="00235ECD" w:rsidRPr="00510A9D">
        <w:rPr>
          <w:rFonts w:eastAsia="仿宋_GB2312" w:cs="Times New Roman" w:hint="eastAsia"/>
          <w:color w:val="000000" w:themeColor="text1"/>
          <w:sz w:val="32"/>
          <w:szCs w:val="32"/>
        </w:rPr>
        <w:t>预</w:t>
      </w: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后预测评价体系，形成基于评价体系的精准诊疗规范；充分利用民族医学（中医、蒙医）的辨证论治，形成花粉症的辨证分型，开展针对不同辩证分型方剂的开发与验证研究，形成民族医学诊疗方案的专家共识或推荐；推动跨学科、跨地区的花粉症高水平诊治平台的构建，形成分级诊疗顺畅转诊的服务体系模式，提升医疗服务的连续性和效率。</w:t>
      </w:r>
    </w:p>
    <w:p w14:paraId="2BA2409C" w14:textId="00A83ED1" w:rsidR="004D0630" w:rsidRPr="0010758D" w:rsidRDefault="00B536CF" w:rsidP="00510A9D">
      <w:pPr>
        <w:adjustRightInd w:val="0"/>
        <w:snapToGrid w:val="0"/>
        <w:spacing w:line="620" w:lineRule="exact"/>
        <w:ind w:firstLine="643"/>
        <w:rPr>
          <w:rFonts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2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bookmarkStart w:id="5" w:name="_GoBack"/>
      <w:bookmarkEnd w:id="5"/>
      <w:r w:rsidR="004D0630"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考核指标</w:t>
      </w:r>
    </w:p>
    <w:p w14:paraId="455E22B3" w14:textId="41B2A960" w:rsidR="00097128" w:rsidRPr="00510A9D" w:rsidRDefault="008B419A" w:rsidP="00510A9D">
      <w:pPr>
        <w:adjustRightInd w:val="0"/>
        <w:snapToGrid w:val="0"/>
        <w:spacing w:line="620" w:lineRule="exact"/>
        <w:ind w:firstLine="640"/>
        <w:rPr>
          <w:rFonts w:eastAsia="仿宋_GB2312" w:cs="Times New Roman"/>
          <w:color w:val="000000" w:themeColor="text1"/>
          <w:sz w:val="32"/>
          <w:szCs w:val="32"/>
        </w:rPr>
      </w:pPr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研发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创新型标记物或生物靶</w:t>
      </w:r>
      <w:proofErr w:type="gramStart"/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向治疗</w:t>
      </w:r>
      <w:proofErr w:type="gramEnd"/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技术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项及以上，并实现转化；</w:t>
      </w:r>
      <w:bookmarkStart w:id="6" w:name="OLE_LINK11"/>
      <w:bookmarkStart w:id="7" w:name="OLE_LINK12"/>
      <w:r w:rsidRPr="00510A9D">
        <w:rPr>
          <w:rFonts w:eastAsia="仿宋_GB2312" w:cs="Times New Roman" w:hint="eastAsia"/>
          <w:color w:val="000000" w:themeColor="text1"/>
          <w:sz w:val="32"/>
          <w:szCs w:val="32"/>
        </w:rPr>
        <w:t>建立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基于花粉症患者生物标记物的精准分型、疾病严重性和</w:t>
      </w:r>
      <w:r w:rsidR="00931235" w:rsidRPr="00510A9D">
        <w:rPr>
          <w:rFonts w:eastAsia="仿宋_GB2312" w:cs="Times New Roman" w:hint="eastAsia"/>
          <w:color w:val="000000" w:themeColor="text1"/>
          <w:sz w:val="32"/>
          <w:szCs w:val="32"/>
        </w:rPr>
        <w:t>预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后风险因素的精准诊疗规范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套，并应用推广</w:t>
      </w:r>
      <w:bookmarkEnd w:id="6"/>
      <w:bookmarkEnd w:id="7"/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；实现疾病知晓率提升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10%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、对因治疗有效率提升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10%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、疗程缩短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10%</w:t>
      </w:r>
      <w:r w:rsidR="008D4C98" w:rsidRPr="00510A9D">
        <w:rPr>
          <w:rFonts w:eastAsia="仿宋_GB2312" w:cs="Times New Roman" w:hint="eastAsia"/>
          <w:color w:val="000000" w:themeColor="text1"/>
          <w:sz w:val="32"/>
          <w:szCs w:val="32"/>
        </w:rPr>
        <w:t>；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制定行业指南或</w:t>
      </w:r>
      <w:r w:rsidR="008D4C98" w:rsidRPr="00510A9D">
        <w:rPr>
          <w:rFonts w:eastAsia="仿宋_GB2312" w:cs="Times New Roman" w:hint="eastAsia"/>
          <w:color w:val="000000" w:themeColor="text1"/>
          <w:sz w:val="32"/>
          <w:szCs w:val="32"/>
        </w:rPr>
        <w:t>形成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专家共识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2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项或以上；向行业管理部门提交专病发展现状白皮书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部；建立区域跨学科诊断治疗、双向转诊、</w:t>
      </w:r>
      <w:proofErr w:type="gramStart"/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医</w:t>
      </w:r>
      <w:proofErr w:type="gramEnd"/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防融合示范中心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个；建立区域性规范诊疗中心</w:t>
      </w:r>
      <w:r w:rsidR="00097128" w:rsidRPr="00510A9D">
        <w:rPr>
          <w:rFonts w:eastAsia="仿宋_GB2312" w:cs="Times New Roman"/>
          <w:color w:val="000000" w:themeColor="text1"/>
          <w:sz w:val="32"/>
          <w:szCs w:val="32"/>
        </w:rPr>
        <w:t>10</w:t>
      </w:r>
      <w:r w:rsidR="00097128" w:rsidRPr="00510A9D">
        <w:rPr>
          <w:rFonts w:eastAsia="仿宋_GB2312" w:cs="Times New Roman" w:hint="eastAsia"/>
          <w:color w:val="000000" w:themeColor="text1"/>
          <w:sz w:val="32"/>
          <w:szCs w:val="32"/>
        </w:rPr>
        <w:t>个</w:t>
      </w:r>
      <w:r w:rsidR="008D4C98" w:rsidRPr="00510A9D">
        <w:rPr>
          <w:rFonts w:eastAsia="仿宋_GB2312" w:cs="Times New Roman" w:hint="eastAsia"/>
          <w:color w:val="000000" w:themeColor="text1"/>
          <w:sz w:val="32"/>
          <w:szCs w:val="32"/>
        </w:rPr>
        <w:t>。</w:t>
      </w:r>
    </w:p>
    <w:p w14:paraId="78CF3CE8" w14:textId="77777777" w:rsidR="00187CC3" w:rsidRPr="00510A9D" w:rsidRDefault="00187CC3" w:rsidP="00187CC3">
      <w:pPr>
        <w:adjustRightInd w:val="0"/>
        <w:snapToGrid w:val="0"/>
        <w:spacing w:line="620" w:lineRule="exact"/>
        <w:ind w:firstLine="643"/>
        <w:outlineLvl w:val="2"/>
        <w:rPr>
          <w:rFonts w:eastAsia="仿宋_GB2312" w:cs="Times New Roman" w:hint="eastAsia"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3</w:t>
      </w:r>
      <w:r>
        <w:rPr>
          <w:rFonts w:eastAsia="楷体" w:cs="Times New Roman"/>
          <w:b/>
          <w:bCs/>
          <w:color w:val="000000" w:themeColor="text1"/>
          <w:sz w:val="32"/>
          <w:szCs w:val="32"/>
        </w:rPr>
        <w:t>.</w:t>
      </w:r>
      <w:r w:rsidRPr="0010758D"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实施期限</w:t>
      </w: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eastAsia="仿宋_GB2312" w:cs="Times New Roman"/>
          <w:color w:val="000000" w:themeColor="text1"/>
          <w:sz w:val="32"/>
          <w:szCs w:val="32"/>
        </w:rPr>
        <w:t>3</w:t>
      </w:r>
      <w:r>
        <w:rPr>
          <w:rFonts w:eastAsia="仿宋_GB2312" w:cs="Times New Roman" w:hint="eastAsia"/>
          <w:color w:val="000000" w:themeColor="text1"/>
          <w:sz w:val="32"/>
          <w:szCs w:val="32"/>
        </w:rPr>
        <w:t>年</w:t>
      </w:r>
    </w:p>
    <w:p w14:paraId="46776ED4" w14:textId="1278169D" w:rsidR="00AA3EB4" w:rsidRPr="00510A9D" w:rsidRDefault="00187CC3" w:rsidP="00187CC3">
      <w:pPr>
        <w:adjustRightInd w:val="0"/>
        <w:snapToGrid w:val="0"/>
        <w:spacing w:line="620" w:lineRule="exact"/>
        <w:ind w:firstLine="643"/>
        <w:rPr>
          <w:rFonts w:eastAsia="仿宋_GB2312" w:cs="Times New Roman"/>
          <w:color w:val="000000" w:themeColor="text1"/>
          <w:sz w:val="32"/>
          <w:szCs w:val="32"/>
        </w:rPr>
      </w:pPr>
      <w:r>
        <w:rPr>
          <w:rFonts w:eastAsia="楷体" w:cs="Times New Roman" w:hint="eastAsia"/>
          <w:b/>
          <w:bCs/>
          <w:color w:val="000000" w:themeColor="text1"/>
          <w:sz w:val="32"/>
          <w:szCs w:val="32"/>
        </w:rPr>
        <w:t>4.</w:t>
      </w:r>
      <w:proofErr w:type="gramStart"/>
      <w:r>
        <w:rPr>
          <w:rFonts w:eastAsia="楷体" w:cs="Times New Roman" w:hint="eastAsia"/>
          <w:b/>
          <w:bCs/>
          <w:color w:val="000000" w:themeColor="text1"/>
          <w:kern w:val="0"/>
          <w:sz w:val="32"/>
          <w:szCs w:val="32"/>
        </w:rPr>
        <w:t>拟支持</w:t>
      </w:r>
      <w:proofErr w:type="gramEnd"/>
      <w:r>
        <w:rPr>
          <w:rFonts w:eastAsia="楷体" w:cs="Times New Roman" w:hint="eastAsia"/>
          <w:b/>
          <w:bCs/>
          <w:color w:val="000000" w:themeColor="text1"/>
          <w:kern w:val="0"/>
          <w:sz w:val="32"/>
          <w:szCs w:val="32"/>
        </w:rPr>
        <w:t>资金额度：</w:t>
      </w:r>
      <w:r>
        <w:rPr>
          <w:rFonts w:eastAsia="仿宋_GB2312" w:cs="Times New Roman" w:hint="eastAsia"/>
          <w:kern w:val="0"/>
          <w:sz w:val="32"/>
          <w:szCs w:val="32"/>
        </w:rPr>
        <w:t>自治区本级科技专项资金</w:t>
      </w:r>
      <w:r>
        <w:rPr>
          <w:rFonts w:eastAsia="仿宋_GB2312" w:cs="Times New Roman"/>
          <w:kern w:val="0"/>
          <w:sz w:val="32"/>
          <w:szCs w:val="32"/>
        </w:rPr>
        <w:t>8</w:t>
      </w:r>
      <w:r>
        <w:rPr>
          <w:rFonts w:eastAsia="仿宋_GB2312" w:cs="Times New Roman"/>
          <w:kern w:val="0"/>
          <w:sz w:val="32"/>
          <w:szCs w:val="32"/>
        </w:rPr>
        <w:t>00</w:t>
      </w:r>
      <w:r>
        <w:rPr>
          <w:rFonts w:eastAsia="仿宋_GB2312" w:cs="Times New Roman" w:hint="eastAsia"/>
          <w:kern w:val="0"/>
          <w:sz w:val="32"/>
          <w:szCs w:val="32"/>
        </w:rPr>
        <w:t>万元。</w:t>
      </w:r>
    </w:p>
    <w:sectPr w:rsidR="00AA3EB4" w:rsidRPr="00510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3" w:right="1519" w:bottom="1497" w:left="1519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2A24" w14:textId="77777777" w:rsidR="00CE2B1F" w:rsidRDefault="00CE2B1F">
      <w:r>
        <w:separator/>
      </w:r>
    </w:p>
  </w:endnote>
  <w:endnote w:type="continuationSeparator" w:id="0">
    <w:p w14:paraId="24BB5525" w14:textId="77777777" w:rsidR="00CE2B1F" w:rsidRDefault="00CE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1495" w14:textId="77777777" w:rsidR="00507C9F" w:rsidRDefault="00507C9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015935"/>
    </w:sdtPr>
    <w:sdtEndPr/>
    <w:sdtContent>
      <w:p w14:paraId="2B0A8B5B" w14:textId="53D42E51" w:rsidR="00507C9F" w:rsidRDefault="00AF1D05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6CF" w:rsidRPr="00B536CF">
          <w:rPr>
            <w:noProof/>
            <w:lang w:val="zh-CN"/>
          </w:rPr>
          <w:t>3</w:t>
        </w:r>
        <w:r>
          <w:fldChar w:fldCharType="end"/>
        </w:r>
      </w:p>
    </w:sdtContent>
  </w:sdt>
  <w:p w14:paraId="4E90DAC7" w14:textId="77777777" w:rsidR="00507C9F" w:rsidRDefault="00507C9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7A661" w14:textId="77777777" w:rsidR="00507C9F" w:rsidRDefault="00507C9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8C2F" w14:textId="77777777" w:rsidR="00CE2B1F" w:rsidRDefault="00CE2B1F">
      <w:r>
        <w:separator/>
      </w:r>
    </w:p>
  </w:footnote>
  <w:footnote w:type="continuationSeparator" w:id="0">
    <w:p w14:paraId="72BF5B5D" w14:textId="77777777" w:rsidR="00CE2B1F" w:rsidRDefault="00CE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6676" w14:textId="77777777" w:rsidR="00507C9F" w:rsidRDefault="00507C9F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99E7" w14:textId="77777777" w:rsidR="00507C9F" w:rsidRDefault="00507C9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4ECA" w14:textId="77777777" w:rsidR="00507C9F" w:rsidRDefault="00507C9F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AFBF"/>
    <w:multiLevelType w:val="singleLevel"/>
    <w:tmpl w:val="03FFAFBF"/>
    <w:lvl w:ilvl="0">
      <w:start w:val="5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Y2EwM2EyZGQ1YmQyY2Y2MTZjMzllOGUzZGVmMGYifQ=="/>
  </w:docVars>
  <w:rsids>
    <w:rsidRoot w:val="4CAD6A4E"/>
    <w:rsid w:val="0000737E"/>
    <w:rsid w:val="00010F07"/>
    <w:rsid w:val="00011927"/>
    <w:rsid w:val="00012C64"/>
    <w:rsid w:val="000178CE"/>
    <w:rsid w:val="000348F2"/>
    <w:rsid w:val="000361C9"/>
    <w:rsid w:val="000409B6"/>
    <w:rsid w:val="0004661B"/>
    <w:rsid w:val="00050406"/>
    <w:rsid w:val="00055FBF"/>
    <w:rsid w:val="000663E0"/>
    <w:rsid w:val="00091DA0"/>
    <w:rsid w:val="0009679C"/>
    <w:rsid w:val="00097128"/>
    <w:rsid w:val="000A2E7F"/>
    <w:rsid w:val="000A5768"/>
    <w:rsid w:val="000A61D7"/>
    <w:rsid w:val="000A6B24"/>
    <w:rsid w:val="000E0BA7"/>
    <w:rsid w:val="000F5BFD"/>
    <w:rsid w:val="0010758D"/>
    <w:rsid w:val="001319FE"/>
    <w:rsid w:val="0013279C"/>
    <w:rsid w:val="001371D1"/>
    <w:rsid w:val="00157F33"/>
    <w:rsid w:val="0016133E"/>
    <w:rsid w:val="00162BAF"/>
    <w:rsid w:val="00165AD9"/>
    <w:rsid w:val="0016662B"/>
    <w:rsid w:val="00173EE4"/>
    <w:rsid w:val="001757A5"/>
    <w:rsid w:val="001762F8"/>
    <w:rsid w:val="00177EBE"/>
    <w:rsid w:val="001809B6"/>
    <w:rsid w:val="00185718"/>
    <w:rsid w:val="00187CC3"/>
    <w:rsid w:val="001915E4"/>
    <w:rsid w:val="001A4B80"/>
    <w:rsid w:val="001A514C"/>
    <w:rsid w:val="001B18FD"/>
    <w:rsid w:val="001B5F6E"/>
    <w:rsid w:val="001C307D"/>
    <w:rsid w:val="001D74E3"/>
    <w:rsid w:val="001E0C1E"/>
    <w:rsid w:val="001E2670"/>
    <w:rsid w:val="001E348F"/>
    <w:rsid w:val="00221D3A"/>
    <w:rsid w:val="00222255"/>
    <w:rsid w:val="00234256"/>
    <w:rsid w:val="00235ECD"/>
    <w:rsid w:val="002375BC"/>
    <w:rsid w:val="00260FF3"/>
    <w:rsid w:val="00266F23"/>
    <w:rsid w:val="0027375B"/>
    <w:rsid w:val="0028693C"/>
    <w:rsid w:val="00291FF2"/>
    <w:rsid w:val="00295934"/>
    <w:rsid w:val="002A3867"/>
    <w:rsid w:val="002B466F"/>
    <w:rsid w:val="002C49D4"/>
    <w:rsid w:val="002D1B38"/>
    <w:rsid w:val="002F0CA7"/>
    <w:rsid w:val="00301795"/>
    <w:rsid w:val="00310C68"/>
    <w:rsid w:val="00313E43"/>
    <w:rsid w:val="00324FCD"/>
    <w:rsid w:val="00332842"/>
    <w:rsid w:val="00333EC6"/>
    <w:rsid w:val="00350B86"/>
    <w:rsid w:val="003512DB"/>
    <w:rsid w:val="0036024F"/>
    <w:rsid w:val="0038700B"/>
    <w:rsid w:val="003907B5"/>
    <w:rsid w:val="00395F47"/>
    <w:rsid w:val="003C289F"/>
    <w:rsid w:val="003D125A"/>
    <w:rsid w:val="003E000D"/>
    <w:rsid w:val="003E1AE1"/>
    <w:rsid w:val="003E460C"/>
    <w:rsid w:val="003E7660"/>
    <w:rsid w:val="003F2944"/>
    <w:rsid w:val="003F45D1"/>
    <w:rsid w:val="004409A3"/>
    <w:rsid w:val="00440C00"/>
    <w:rsid w:val="00455303"/>
    <w:rsid w:val="00462DF5"/>
    <w:rsid w:val="0046743D"/>
    <w:rsid w:val="00470940"/>
    <w:rsid w:val="00475A49"/>
    <w:rsid w:val="00485249"/>
    <w:rsid w:val="00491130"/>
    <w:rsid w:val="004A2ED6"/>
    <w:rsid w:val="004B13DF"/>
    <w:rsid w:val="004B7645"/>
    <w:rsid w:val="004C2D13"/>
    <w:rsid w:val="004D0630"/>
    <w:rsid w:val="004D39F3"/>
    <w:rsid w:val="004E2873"/>
    <w:rsid w:val="004E4883"/>
    <w:rsid w:val="004F2421"/>
    <w:rsid w:val="004F439B"/>
    <w:rsid w:val="0050475D"/>
    <w:rsid w:val="00507C9F"/>
    <w:rsid w:val="00510A9D"/>
    <w:rsid w:val="00514D55"/>
    <w:rsid w:val="0052000E"/>
    <w:rsid w:val="00522697"/>
    <w:rsid w:val="00524CC1"/>
    <w:rsid w:val="00530962"/>
    <w:rsid w:val="005350A5"/>
    <w:rsid w:val="00541693"/>
    <w:rsid w:val="005509C3"/>
    <w:rsid w:val="005523D1"/>
    <w:rsid w:val="005538E9"/>
    <w:rsid w:val="0056338A"/>
    <w:rsid w:val="005863BE"/>
    <w:rsid w:val="00587E7C"/>
    <w:rsid w:val="0059097D"/>
    <w:rsid w:val="00594089"/>
    <w:rsid w:val="005A01C2"/>
    <w:rsid w:val="005B3398"/>
    <w:rsid w:val="005D59FB"/>
    <w:rsid w:val="005D6024"/>
    <w:rsid w:val="005E2BC5"/>
    <w:rsid w:val="005F186E"/>
    <w:rsid w:val="005F1C5C"/>
    <w:rsid w:val="005F3B42"/>
    <w:rsid w:val="006016C1"/>
    <w:rsid w:val="00605930"/>
    <w:rsid w:val="0061000E"/>
    <w:rsid w:val="006106FA"/>
    <w:rsid w:val="00613067"/>
    <w:rsid w:val="00624DFE"/>
    <w:rsid w:val="0062563D"/>
    <w:rsid w:val="00633E73"/>
    <w:rsid w:val="0063566A"/>
    <w:rsid w:val="00647EFA"/>
    <w:rsid w:val="00651650"/>
    <w:rsid w:val="006648C0"/>
    <w:rsid w:val="00665012"/>
    <w:rsid w:val="00666117"/>
    <w:rsid w:val="00666A40"/>
    <w:rsid w:val="00670589"/>
    <w:rsid w:val="00677154"/>
    <w:rsid w:val="00685E9A"/>
    <w:rsid w:val="0069061A"/>
    <w:rsid w:val="006C7B9B"/>
    <w:rsid w:val="006E1D66"/>
    <w:rsid w:val="006E2ED9"/>
    <w:rsid w:val="006E413D"/>
    <w:rsid w:val="006F1E2B"/>
    <w:rsid w:val="006F2D25"/>
    <w:rsid w:val="0070396A"/>
    <w:rsid w:val="007124A9"/>
    <w:rsid w:val="00713775"/>
    <w:rsid w:val="007331E9"/>
    <w:rsid w:val="00733C08"/>
    <w:rsid w:val="00737738"/>
    <w:rsid w:val="007378B7"/>
    <w:rsid w:val="00753FFE"/>
    <w:rsid w:val="00754921"/>
    <w:rsid w:val="00761867"/>
    <w:rsid w:val="00762625"/>
    <w:rsid w:val="007850E6"/>
    <w:rsid w:val="00786BE5"/>
    <w:rsid w:val="00791625"/>
    <w:rsid w:val="00796BD0"/>
    <w:rsid w:val="007A14CD"/>
    <w:rsid w:val="007B52DD"/>
    <w:rsid w:val="007B66D5"/>
    <w:rsid w:val="007C0CAB"/>
    <w:rsid w:val="007D3770"/>
    <w:rsid w:val="007F7EE6"/>
    <w:rsid w:val="00802DF0"/>
    <w:rsid w:val="00803405"/>
    <w:rsid w:val="00804C6E"/>
    <w:rsid w:val="008336F6"/>
    <w:rsid w:val="008408EE"/>
    <w:rsid w:val="00844656"/>
    <w:rsid w:val="008667FD"/>
    <w:rsid w:val="00883AF6"/>
    <w:rsid w:val="00883B9C"/>
    <w:rsid w:val="00886F3D"/>
    <w:rsid w:val="008901DA"/>
    <w:rsid w:val="00897A5A"/>
    <w:rsid w:val="008A36F6"/>
    <w:rsid w:val="008A4535"/>
    <w:rsid w:val="008B0699"/>
    <w:rsid w:val="008B16C8"/>
    <w:rsid w:val="008B39D0"/>
    <w:rsid w:val="008B419A"/>
    <w:rsid w:val="008C1F54"/>
    <w:rsid w:val="008C42DB"/>
    <w:rsid w:val="008C501B"/>
    <w:rsid w:val="008D2038"/>
    <w:rsid w:val="008D2A3C"/>
    <w:rsid w:val="008D4C98"/>
    <w:rsid w:val="008D4D47"/>
    <w:rsid w:val="008E4579"/>
    <w:rsid w:val="008F12F0"/>
    <w:rsid w:val="008F2EFB"/>
    <w:rsid w:val="009024BE"/>
    <w:rsid w:val="00902592"/>
    <w:rsid w:val="00903F98"/>
    <w:rsid w:val="0090555A"/>
    <w:rsid w:val="00921378"/>
    <w:rsid w:val="0092574F"/>
    <w:rsid w:val="00931235"/>
    <w:rsid w:val="00944D2A"/>
    <w:rsid w:val="00970D1B"/>
    <w:rsid w:val="00985598"/>
    <w:rsid w:val="00987FAC"/>
    <w:rsid w:val="009913D9"/>
    <w:rsid w:val="00992E70"/>
    <w:rsid w:val="0099723F"/>
    <w:rsid w:val="009A0D79"/>
    <w:rsid w:val="009B1098"/>
    <w:rsid w:val="009C6C15"/>
    <w:rsid w:val="009D5802"/>
    <w:rsid w:val="009E6869"/>
    <w:rsid w:val="009F42BA"/>
    <w:rsid w:val="00A04F95"/>
    <w:rsid w:val="00A11360"/>
    <w:rsid w:val="00A12300"/>
    <w:rsid w:val="00A14A84"/>
    <w:rsid w:val="00A26A7F"/>
    <w:rsid w:val="00A320C2"/>
    <w:rsid w:val="00A34E34"/>
    <w:rsid w:val="00A41171"/>
    <w:rsid w:val="00A50DD7"/>
    <w:rsid w:val="00A6174B"/>
    <w:rsid w:val="00A624F3"/>
    <w:rsid w:val="00A7797C"/>
    <w:rsid w:val="00A8155E"/>
    <w:rsid w:val="00A84DA2"/>
    <w:rsid w:val="00AA2B66"/>
    <w:rsid w:val="00AA3EB4"/>
    <w:rsid w:val="00AC00FA"/>
    <w:rsid w:val="00AC7348"/>
    <w:rsid w:val="00AE38E9"/>
    <w:rsid w:val="00AF1D05"/>
    <w:rsid w:val="00AF255C"/>
    <w:rsid w:val="00AF461C"/>
    <w:rsid w:val="00B01B2B"/>
    <w:rsid w:val="00B33678"/>
    <w:rsid w:val="00B43467"/>
    <w:rsid w:val="00B45AEB"/>
    <w:rsid w:val="00B536CF"/>
    <w:rsid w:val="00B553F3"/>
    <w:rsid w:val="00B6466A"/>
    <w:rsid w:val="00B7694D"/>
    <w:rsid w:val="00B80A07"/>
    <w:rsid w:val="00B86972"/>
    <w:rsid w:val="00B91F71"/>
    <w:rsid w:val="00BB32A4"/>
    <w:rsid w:val="00BC1C81"/>
    <w:rsid w:val="00BC7C72"/>
    <w:rsid w:val="00BD5975"/>
    <w:rsid w:val="00BD7665"/>
    <w:rsid w:val="00BD7F63"/>
    <w:rsid w:val="00BE332C"/>
    <w:rsid w:val="00BE4CBF"/>
    <w:rsid w:val="00BE4DF2"/>
    <w:rsid w:val="00BF3834"/>
    <w:rsid w:val="00C01A04"/>
    <w:rsid w:val="00C2077F"/>
    <w:rsid w:val="00C226A7"/>
    <w:rsid w:val="00C4788C"/>
    <w:rsid w:val="00C5510E"/>
    <w:rsid w:val="00C70F20"/>
    <w:rsid w:val="00C7128F"/>
    <w:rsid w:val="00C75FFF"/>
    <w:rsid w:val="00C84AD9"/>
    <w:rsid w:val="00C91502"/>
    <w:rsid w:val="00C92AA4"/>
    <w:rsid w:val="00C975E9"/>
    <w:rsid w:val="00CA635F"/>
    <w:rsid w:val="00CB0983"/>
    <w:rsid w:val="00CB1B7D"/>
    <w:rsid w:val="00CC60D8"/>
    <w:rsid w:val="00CD4A99"/>
    <w:rsid w:val="00CE2B1F"/>
    <w:rsid w:val="00CF6AE8"/>
    <w:rsid w:val="00CF717A"/>
    <w:rsid w:val="00D043A8"/>
    <w:rsid w:val="00D0545E"/>
    <w:rsid w:val="00D11D49"/>
    <w:rsid w:val="00D20781"/>
    <w:rsid w:val="00D213AF"/>
    <w:rsid w:val="00D216D9"/>
    <w:rsid w:val="00D2403D"/>
    <w:rsid w:val="00D26FFD"/>
    <w:rsid w:val="00D31673"/>
    <w:rsid w:val="00D3372D"/>
    <w:rsid w:val="00D50D2E"/>
    <w:rsid w:val="00D57C53"/>
    <w:rsid w:val="00D62183"/>
    <w:rsid w:val="00D7436D"/>
    <w:rsid w:val="00D77095"/>
    <w:rsid w:val="00D836AD"/>
    <w:rsid w:val="00D903E1"/>
    <w:rsid w:val="00D91D5B"/>
    <w:rsid w:val="00DB1709"/>
    <w:rsid w:val="00DB3DFB"/>
    <w:rsid w:val="00DB6BEE"/>
    <w:rsid w:val="00DD4065"/>
    <w:rsid w:val="00DE06CE"/>
    <w:rsid w:val="00DE1502"/>
    <w:rsid w:val="00DE52DA"/>
    <w:rsid w:val="00E03B87"/>
    <w:rsid w:val="00E1145F"/>
    <w:rsid w:val="00E12D2A"/>
    <w:rsid w:val="00E12FA1"/>
    <w:rsid w:val="00E13EFD"/>
    <w:rsid w:val="00E242E5"/>
    <w:rsid w:val="00E41CD7"/>
    <w:rsid w:val="00E44371"/>
    <w:rsid w:val="00E56AEA"/>
    <w:rsid w:val="00E57291"/>
    <w:rsid w:val="00E657E8"/>
    <w:rsid w:val="00E77A0E"/>
    <w:rsid w:val="00E8178B"/>
    <w:rsid w:val="00E91AEF"/>
    <w:rsid w:val="00E94D59"/>
    <w:rsid w:val="00EB245A"/>
    <w:rsid w:val="00EB7896"/>
    <w:rsid w:val="00EB7DAE"/>
    <w:rsid w:val="00EC1FC3"/>
    <w:rsid w:val="00ED2E5B"/>
    <w:rsid w:val="00ED488F"/>
    <w:rsid w:val="00EE5AEB"/>
    <w:rsid w:val="00EE7A0D"/>
    <w:rsid w:val="00EF3F79"/>
    <w:rsid w:val="00EF5491"/>
    <w:rsid w:val="00F14B13"/>
    <w:rsid w:val="00F167A7"/>
    <w:rsid w:val="00F16CBE"/>
    <w:rsid w:val="00F2208F"/>
    <w:rsid w:val="00F269F7"/>
    <w:rsid w:val="00F45837"/>
    <w:rsid w:val="00F52386"/>
    <w:rsid w:val="00F525B5"/>
    <w:rsid w:val="00F6163F"/>
    <w:rsid w:val="00F67558"/>
    <w:rsid w:val="00F715E0"/>
    <w:rsid w:val="00F80ABC"/>
    <w:rsid w:val="00F911A3"/>
    <w:rsid w:val="00F954B1"/>
    <w:rsid w:val="00F977F0"/>
    <w:rsid w:val="00FB36A9"/>
    <w:rsid w:val="00FB65A6"/>
    <w:rsid w:val="00FB7F1C"/>
    <w:rsid w:val="00FC68FC"/>
    <w:rsid w:val="00FD0018"/>
    <w:rsid w:val="00FD4D1A"/>
    <w:rsid w:val="00FD6E64"/>
    <w:rsid w:val="00FD7278"/>
    <w:rsid w:val="00FE115C"/>
    <w:rsid w:val="00FF0324"/>
    <w:rsid w:val="00FF30C9"/>
    <w:rsid w:val="00FF4DBE"/>
    <w:rsid w:val="00FF76F6"/>
    <w:rsid w:val="08E23383"/>
    <w:rsid w:val="0F2F5EE9"/>
    <w:rsid w:val="10301AF3"/>
    <w:rsid w:val="14CB2C8D"/>
    <w:rsid w:val="16995DB7"/>
    <w:rsid w:val="1A673C2F"/>
    <w:rsid w:val="1BAC5276"/>
    <w:rsid w:val="21317BEA"/>
    <w:rsid w:val="21F066AD"/>
    <w:rsid w:val="21F91F85"/>
    <w:rsid w:val="26960909"/>
    <w:rsid w:val="2D8E7315"/>
    <w:rsid w:val="2EBB02EA"/>
    <w:rsid w:val="37D97219"/>
    <w:rsid w:val="38C746FA"/>
    <w:rsid w:val="3ACC55F3"/>
    <w:rsid w:val="3C950565"/>
    <w:rsid w:val="3DAB4624"/>
    <w:rsid w:val="471548BC"/>
    <w:rsid w:val="4B795B2C"/>
    <w:rsid w:val="4C511077"/>
    <w:rsid w:val="4CAD6A4E"/>
    <w:rsid w:val="4D573E80"/>
    <w:rsid w:val="514A5F92"/>
    <w:rsid w:val="5BA81D4B"/>
    <w:rsid w:val="5C6B1AA3"/>
    <w:rsid w:val="5D8B797D"/>
    <w:rsid w:val="61750921"/>
    <w:rsid w:val="61CD250B"/>
    <w:rsid w:val="676C5089"/>
    <w:rsid w:val="69BD4C13"/>
    <w:rsid w:val="6E787587"/>
    <w:rsid w:val="720F22F9"/>
    <w:rsid w:val="73C80D84"/>
    <w:rsid w:val="74613FF1"/>
    <w:rsid w:val="75635546"/>
    <w:rsid w:val="7B9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47D70"/>
  <w15:docId w15:val="{2891070B-1543-4BD5-99DE-9724A79F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480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="Times New Roman" w:eastAsia="宋体" w:hAnsi="Times New Roman"/>
      <w:kern w:val="2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paragraph" w:styleId="a7">
    <w:name w:val="annotation text"/>
    <w:basedOn w:val="a"/>
    <w:link w:val="a8"/>
    <w:uiPriority w:val="99"/>
    <w:unhideWhenUsed/>
    <w:qFormat/>
    <w:rsid w:val="00B33678"/>
    <w:pPr>
      <w:jc w:val="left"/>
    </w:pPr>
    <w:rPr>
      <w:rFonts w:cs="Times New Roman"/>
    </w:rPr>
  </w:style>
  <w:style w:type="character" w:customStyle="1" w:styleId="a8">
    <w:name w:val="批注文字 字符"/>
    <w:basedOn w:val="a0"/>
    <w:link w:val="a7"/>
    <w:uiPriority w:val="99"/>
    <w:rsid w:val="00B33678"/>
    <w:rPr>
      <w:rFonts w:ascii="Times New Roman" w:eastAsia="宋体" w:hAnsi="Times New Roman"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33678"/>
    <w:pPr>
      <w:ind w:firstLine="420"/>
    </w:pPr>
    <w:rPr>
      <w:rFonts w:asciiTheme="minorHAnsi" w:eastAsiaTheme="minorEastAsia" w:hAnsiTheme="minorHAnsi"/>
      <w:sz w:val="21"/>
    </w:rPr>
  </w:style>
  <w:style w:type="paragraph" w:styleId="aa">
    <w:name w:val="Normal (Web)"/>
    <w:basedOn w:val="a"/>
    <w:uiPriority w:val="99"/>
    <w:unhideWhenUsed/>
    <w:rsid w:val="00177EBE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  <w:style w:type="character" w:styleId="ab">
    <w:name w:val="Strong"/>
    <w:basedOn w:val="a0"/>
    <w:uiPriority w:val="22"/>
    <w:qFormat/>
    <w:rsid w:val="00177EBE"/>
    <w:rPr>
      <w:b/>
      <w:bCs/>
    </w:rPr>
  </w:style>
  <w:style w:type="paragraph" w:styleId="ac">
    <w:name w:val="Revision"/>
    <w:hidden/>
    <w:uiPriority w:val="99"/>
    <w:semiHidden/>
    <w:rsid w:val="003E7660"/>
    <w:rPr>
      <w:rFonts w:ascii="Times New Roman" w:eastAsia="宋体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cp:lastPrinted>2025-09-24T09:16:00Z</cp:lastPrinted>
  <dcterms:created xsi:type="dcterms:W3CDTF">2025-09-12T08:03:00Z</dcterms:created>
  <dcterms:modified xsi:type="dcterms:W3CDTF">2025-09-24T10:49:00Z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07A3128D36B44BAB892BCF0BDF70C3B8_13</vt:lpwstr>
  </property>
  <property fmtid="{D5CDD505-2E9C-101B-9397-08002B2CF9AE}" pid="4" name="KSOTemplateDocerSaveRecord">
    <vt:lpwstr>eyJoZGlkIjoiYmMwMGM0N2VkYTI4ZjBkZmUzOWY4MzdjZjg0OTljNTAiLCJ1c2VySWQiOiIxMTc0MTkzMDE3In0=</vt:lpwstr>
  </property>
</Properties>
</file>