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auto"/>
          <w:highlight w:val="none"/>
          <w:lang w:val="en-US" w:eastAsia="zh-CN"/>
        </w:rPr>
      </w:pPr>
    </w:p>
    <w:p w14:paraId="293869B6">
      <w:pPr>
        <w:jc w:val="center"/>
        <w:rPr>
          <w:rFonts w:hint="default" w:ascii="Times New Roman" w:hAnsi="Times New Roman" w:cs="Times New Roman"/>
          <w:color w:val="auto"/>
          <w:sz w:val="52"/>
          <w:szCs w:val="52"/>
          <w:highlight w:val="none"/>
          <w:lang w:val="en-US"/>
        </w:rPr>
      </w:pPr>
      <w:r>
        <w:rPr>
          <w:rFonts w:hint="eastAsia" w:ascii="Times New Roman" w:hAnsi="Times New Roman" w:eastAsia="方正小标宋简体" w:cs="Times New Roman"/>
          <w:b/>
          <w:bCs/>
          <w:color w:val="auto"/>
          <w:sz w:val="44"/>
          <w:szCs w:val="44"/>
          <w:highlight w:val="none"/>
          <w:lang w:val="en-US" w:eastAsia="zh-CN"/>
        </w:rPr>
        <w:t>巴彦淖尔市医院</w:t>
      </w:r>
      <w:r>
        <w:rPr>
          <w:rFonts w:hint="eastAsia" w:eastAsia="方正小标宋简体" w:cs="Times New Roman"/>
          <w:b/>
          <w:bCs/>
          <w:color w:val="auto"/>
          <w:sz w:val="44"/>
          <w:szCs w:val="44"/>
          <w:highlight w:val="none"/>
          <w:lang w:val="en-US" w:eastAsia="zh-CN"/>
        </w:rPr>
        <w:t>网络安全服务项目</w:t>
      </w:r>
    </w:p>
    <w:p w14:paraId="13B45932">
      <w:pPr>
        <w:pStyle w:val="13"/>
        <w:rPr>
          <w:rFonts w:hint="default" w:ascii="Times New Roman" w:hAnsi="Times New Roman" w:cs="Times New Roman"/>
          <w:color w:val="auto"/>
          <w:highlight w:val="none"/>
        </w:rPr>
      </w:pPr>
    </w:p>
    <w:p w14:paraId="4139FF32">
      <w:pPr>
        <w:ind w:left="538"/>
        <w:jc w:val="both"/>
        <w:rPr>
          <w:rFonts w:hint="default" w:ascii="Times New Roman" w:hAnsi="Times New Roman" w:eastAsia="黑体" w:cs="Times New Roman"/>
          <w:b/>
          <w:bCs/>
          <w:color w:val="auto"/>
          <w:sz w:val="32"/>
          <w:szCs w:val="32"/>
          <w:highlight w:val="none"/>
          <w:lang w:val="en-US" w:eastAsia="zh-CN"/>
        </w:rPr>
      </w:pPr>
    </w:p>
    <w:p w14:paraId="3B2F0BE8">
      <w:pPr>
        <w:ind w:left="538"/>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竞 争 性 磋 商 文 件</w:t>
      </w:r>
    </w:p>
    <w:p w14:paraId="0FB2C736">
      <w:pPr>
        <w:pStyle w:val="71"/>
        <w:rPr>
          <w:rFonts w:hint="default" w:ascii="Times New Roman" w:hAnsi="Times New Roman" w:eastAsia="黑体" w:cs="Times New Roman"/>
          <w:color w:val="auto"/>
          <w:sz w:val="32"/>
          <w:szCs w:val="32"/>
          <w:highlight w:val="none"/>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rPr>
        <w:t>招标编号：</w:t>
      </w:r>
      <w:r>
        <w:rPr>
          <w:rFonts w:hint="default" w:ascii="Times New Roman" w:hAnsi="Times New Roman" w:eastAsia="黑体" w:cs="Times New Roman"/>
          <w:b/>
          <w:bCs/>
          <w:color w:val="auto"/>
          <w:sz w:val="32"/>
          <w:szCs w:val="32"/>
          <w:highlight w:val="none"/>
          <w:lang w:val="en-US" w:eastAsia="zh-CN"/>
        </w:rPr>
        <w:t>BSYY</w:t>
      </w:r>
      <w:r>
        <w:rPr>
          <w:rFonts w:hint="default" w:ascii="Times New Roman" w:hAnsi="Times New Roman" w:eastAsia="黑体" w:cs="Times New Roman"/>
          <w:b/>
          <w:bCs/>
          <w:color w:val="auto"/>
          <w:sz w:val="32"/>
          <w:szCs w:val="32"/>
          <w:highlight w:val="none"/>
        </w:rPr>
        <w:t>-202</w:t>
      </w:r>
      <w:r>
        <w:rPr>
          <w:rFonts w:hint="default" w:ascii="Times New Roman" w:hAnsi="Times New Roman" w:eastAsia="黑体" w:cs="Times New Roman"/>
          <w:b/>
          <w:bCs/>
          <w:color w:val="auto"/>
          <w:sz w:val="32"/>
          <w:szCs w:val="32"/>
          <w:highlight w:val="none"/>
          <w:lang w:val="en-US" w:eastAsia="zh-CN"/>
        </w:rPr>
        <w:t>5</w:t>
      </w:r>
      <w:r>
        <w:rPr>
          <w:rFonts w:hint="default" w:ascii="Times New Roman" w:hAnsi="Times New Roman" w:eastAsia="黑体" w:cs="Times New Roman"/>
          <w:b/>
          <w:bCs/>
          <w:color w:val="auto"/>
          <w:sz w:val="32"/>
          <w:szCs w:val="32"/>
          <w:highlight w:val="none"/>
        </w:rPr>
        <w:t>-</w:t>
      </w:r>
      <w:r>
        <w:rPr>
          <w:rFonts w:hint="default" w:ascii="Times New Roman" w:hAnsi="Times New Roman" w:eastAsia="黑体" w:cs="Times New Roman"/>
          <w:b/>
          <w:bCs/>
          <w:color w:val="auto"/>
          <w:sz w:val="32"/>
          <w:szCs w:val="32"/>
          <w:highlight w:val="none"/>
          <w:lang w:val="en-US" w:eastAsia="zh-CN"/>
        </w:rPr>
        <w:t>00</w:t>
      </w:r>
      <w:r>
        <w:rPr>
          <w:rFonts w:hint="eastAsia" w:ascii="Times New Roman" w:hAnsi="Times New Roman" w:eastAsia="黑体" w:cs="Times New Roman"/>
          <w:b/>
          <w:bCs/>
          <w:color w:val="auto"/>
          <w:sz w:val="32"/>
          <w:szCs w:val="32"/>
          <w:highlight w:val="none"/>
          <w:lang w:val="en-US" w:eastAsia="zh-CN"/>
        </w:rPr>
        <w:t>22</w:t>
      </w:r>
    </w:p>
    <w:p w14:paraId="51A859C7">
      <w:pPr>
        <w:spacing w:line="360" w:lineRule="auto"/>
        <w:jc w:val="center"/>
        <w:rPr>
          <w:rFonts w:hint="default" w:ascii="Times New Roman" w:hAnsi="Times New Roman" w:eastAsia="黑体" w:cs="Times New Roman"/>
          <w:b/>
          <w:bCs/>
          <w:color w:val="auto"/>
          <w:sz w:val="32"/>
          <w:szCs w:val="32"/>
          <w:highlight w:val="none"/>
          <w:lang w:val="en-US" w:eastAsia="zh-CN"/>
        </w:rPr>
      </w:pPr>
    </w:p>
    <w:p w14:paraId="7C42D926">
      <w:pPr>
        <w:pStyle w:val="5"/>
        <w:rPr>
          <w:rFonts w:hint="default" w:ascii="Times New Roman" w:hAnsi="Times New Roman" w:eastAsia="黑体" w:cs="Times New Roman"/>
          <w:color w:val="auto"/>
          <w:sz w:val="32"/>
          <w:szCs w:val="32"/>
          <w:highlight w:val="none"/>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auto"/>
          <w:kern w:val="2"/>
          <w:sz w:val="32"/>
          <w:szCs w:val="32"/>
          <w:highlight w:val="none"/>
          <w:lang w:val="en-US" w:eastAsia="zh-CN" w:bidi="ar-SA"/>
        </w:rPr>
      </w:pPr>
      <w:bookmarkStart w:id="0" w:name="_Toc30215"/>
      <w:r>
        <w:rPr>
          <w:rFonts w:hint="default" w:ascii="Times New Roman" w:hAnsi="Times New Roman" w:eastAsia="黑体" w:cs="Times New Roman"/>
          <w:b/>
          <w:color w:val="auto"/>
          <w:kern w:val="2"/>
          <w:sz w:val="32"/>
          <w:szCs w:val="32"/>
          <w:highlight w:val="none"/>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auto"/>
          <w:sz w:val="32"/>
          <w:szCs w:val="32"/>
          <w:highlight w:val="none"/>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auto"/>
          <w:sz w:val="32"/>
          <w:szCs w:val="32"/>
          <w:highlight w:val="none"/>
          <w:lang w:val="en-US" w:eastAsia="zh-CN"/>
        </w:rPr>
      </w:pPr>
    </w:p>
    <w:p w14:paraId="6D9F7096">
      <w:pPr>
        <w:pStyle w:val="27"/>
        <w:jc w:val="center"/>
        <w:rPr>
          <w:rFonts w:hint="default" w:ascii="Times New Roman" w:hAnsi="Times New Roman" w:eastAsia="黑体" w:cs="Times New Roman"/>
          <w:b/>
          <w:color w:val="auto"/>
          <w:sz w:val="32"/>
          <w:szCs w:val="32"/>
          <w:highlight w:val="none"/>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auto"/>
          <w:kern w:val="2"/>
          <w:sz w:val="32"/>
          <w:szCs w:val="32"/>
          <w:highlight w:val="none"/>
          <w:lang w:val="en-US" w:eastAsia="zh-CN" w:bidi="ar-SA"/>
        </w:rPr>
        <w:t>2025年</w:t>
      </w:r>
      <w:r>
        <w:rPr>
          <w:rFonts w:hint="eastAsia" w:ascii="Times New Roman" w:eastAsia="黑体" w:cs="Times New Roman"/>
          <w:b/>
          <w:bCs w:val="0"/>
          <w:color w:val="auto"/>
          <w:kern w:val="2"/>
          <w:sz w:val="32"/>
          <w:szCs w:val="32"/>
          <w:highlight w:val="none"/>
          <w:lang w:val="en-US" w:eastAsia="zh-CN" w:bidi="ar-SA"/>
        </w:rPr>
        <w:t>10</w:t>
      </w:r>
      <w:r>
        <w:rPr>
          <w:rFonts w:hint="default" w:ascii="Times New Roman" w:hAnsi="Times New Roman" w:eastAsia="黑体" w:cs="Times New Roman"/>
          <w:b/>
          <w:bCs w:val="0"/>
          <w:color w:val="auto"/>
          <w:kern w:val="2"/>
          <w:sz w:val="32"/>
          <w:szCs w:val="32"/>
          <w:highlight w:val="none"/>
          <w:lang w:val="en-US" w:eastAsia="zh-CN" w:bidi="ar-SA"/>
        </w:rPr>
        <w:t>月</w:t>
      </w:r>
      <w:r>
        <w:rPr>
          <w:rFonts w:hint="eastAsia" w:ascii="Times New Roman" w:eastAsia="黑体" w:cs="Times New Roman"/>
          <w:b/>
          <w:bCs w:val="0"/>
          <w:color w:val="auto"/>
          <w:kern w:val="2"/>
          <w:sz w:val="32"/>
          <w:szCs w:val="32"/>
          <w:highlight w:val="none"/>
          <w:lang w:val="en-US" w:eastAsia="zh-CN" w:bidi="ar-SA"/>
        </w:rPr>
        <w:t>11</w:t>
      </w:r>
      <w:r>
        <w:rPr>
          <w:rFonts w:hint="default" w:ascii="Times New Roman" w:hAnsi="Times New Roman" w:eastAsia="黑体" w:cs="Times New Roman"/>
          <w:b/>
          <w:bCs w:val="0"/>
          <w:color w:val="auto"/>
          <w:kern w:val="2"/>
          <w:sz w:val="32"/>
          <w:szCs w:val="32"/>
          <w:highlight w:val="none"/>
          <w:lang w:val="en-US" w:eastAsia="zh-CN" w:bidi="ar-SA"/>
        </w:rPr>
        <w:t>日</w:t>
      </w:r>
    </w:p>
    <w:p w14:paraId="52EA8ACB">
      <w:pPr>
        <w:pStyle w:val="27"/>
        <w:jc w:val="center"/>
        <w:rPr>
          <w:rFonts w:hint="default" w:ascii="Times New Roman" w:hAnsi="Times New Roman" w:cs="Times New Roman"/>
          <w:b/>
          <w:color w:val="auto"/>
          <w:sz w:val="32"/>
          <w:szCs w:val="32"/>
          <w:highlight w:val="none"/>
          <w:lang w:val="en-US" w:eastAsia="zh-CN"/>
        </w:rPr>
      </w:pPr>
    </w:p>
    <w:p w14:paraId="0EBC61B8">
      <w:pPr>
        <w:pStyle w:val="29"/>
        <w:jc w:val="center"/>
        <w:rPr>
          <w:rFonts w:hint="default" w:ascii="Times New Roman" w:hAnsi="Times New Roman" w:cs="Times New Roman"/>
          <w:color w:val="auto"/>
          <w:sz w:val="32"/>
          <w:szCs w:val="32"/>
          <w:highlight w:val="none"/>
        </w:rPr>
      </w:pPr>
      <w:bookmarkStart w:id="1" w:name="_Toc30448"/>
      <w:bookmarkStart w:id="2" w:name="_Toc28919"/>
      <w:bookmarkStart w:id="3" w:name="_Toc12411"/>
      <w:r>
        <w:rPr>
          <w:rFonts w:hint="default" w:ascii="Times New Roman" w:hAnsi="Times New Roman" w:cs="Times New Roman"/>
          <w:color w:val="auto"/>
          <w:sz w:val="32"/>
          <w:szCs w:val="32"/>
          <w:highlight w:val="none"/>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auto"/>
          <w:szCs w:val="24"/>
          <w:highlight w:val="none"/>
        </w:rPr>
      </w:pPr>
      <w:bookmarkStart w:id="4" w:name="_Toc19939"/>
      <w:bookmarkStart w:id="5" w:name="_Toc2735"/>
    </w:p>
    <w:p w14:paraId="4CC77A5B">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邀请书</w:t>
      </w:r>
      <w:r>
        <w:rPr>
          <w:rFonts w:hint="default" w:ascii="Times New Roman" w:hAnsi="Times New Roman" w:cs="Times New Roman"/>
          <w:color w:val="auto"/>
          <w:szCs w:val="22"/>
          <w:highlight w:val="none"/>
          <w:lang w:val="en-US" w:eastAsia="zh-CN"/>
        </w:rPr>
        <w:t>............................................................................................1</w:t>
      </w:r>
    </w:p>
    <w:p w14:paraId="43E6252E">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磋商须知前附表</w:t>
      </w:r>
      <w:r>
        <w:rPr>
          <w:rFonts w:hint="default" w:ascii="Times New Roman" w:hAnsi="Times New Roman" w:cs="Times New Roman"/>
          <w:color w:val="auto"/>
          <w:highlight w:val="none"/>
          <w:lang w:val="en-US" w:eastAsia="zh-CN"/>
        </w:rPr>
        <w:t>............................................................................5</w:t>
      </w:r>
    </w:p>
    <w:p w14:paraId="52B658AA">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w:t>
      </w:r>
      <w:r>
        <w:rPr>
          <w:rFonts w:hint="default" w:ascii="Times New Roman" w:hAnsi="Times New Roman" w:cs="Times New Roman"/>
          <w:color w:val="auto"/>
          <w:highlight w:val="none"/>
          <w:lang w:val="en-US" w:eastAsia="zh-CN"/>
        </w:rPr>
        <w:t>........................................................................................7</w:t>
      </w:r>
    </w:p>
    <w:p w14:paraId="2800CC33">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合同条款及格式</w:t>
      </w:r>
      <w:r>
        <w:rPr>
          <w:rFonts w:hint="default" w:ascii="Times New Roman" w:hAnsi="Times New Roman" w:cs="Times New Roman"/>
          <w:color w:val="auto"/>
          <w:highlight w:val="none"/>
          <w:lang w:val="en-US" w:eastAsia="zh-CN"/>
        </w:rPr>
        <w:t>..........................................................................18</w:t>
      </w:r>
    </w:p>
    <w:p w14:paraId="36B3C9C4">
      <w:pPr>
        <w:numPr>
          <w:ilvl w:val="0"/>
          <w:numId w:val="5"/>
        </w:numPr>
        <w:jc w:val="left"/>
        <w:outlineLvl w:val="0"/>
        <w:rPr>
          <w:rFonts w:hint="default" w:ascii="Times New Roman" w:hAnsi="Times New Roman" w:eastAsia="宋体" w:cs="Times New Roman"/>
          <w:color w:val="auto"/>
          <w:szCs w:val="24"/>
          <w:highlight w:val="none"/>
        </w:rPr>
      </w:pPr>
      <w:r>
        <w:rPr>
          <w:rFonts w:hint="eastAsia" w:ascii="仿宋_GB2312" w:hAnsi="仿宋_GB2312" w:eastAsia="仿宋_GB2312" w:cs="仿宋_GB2312"/>
          <w:color w:val="auto"/>
          <w:sz w:val="28"/>
          <w:szCs w:val="28"/>
          <w:highlight w:val="none"/>
          <w:lang w:val="en-US" w:eastAsia="en-US"/>
        </w:rPr>
        <w:t>招标项目说明和要求</w:t>
      </w:r>
      <w:r>
        <w:rPr>
          <w:rFonts w:hint="default" w:ascii="Times New Roman" w:hAnsi="Times New Roman" w:cs="Times New Roman"/>
          <w:color w:val="auto"/>
          <w:szCs w:val="22"/>
          <w:highlight w:val="none"/>
          <w:lang w:val="en-US" w:eastAsia="zh-CN"/>
        </w:rPr>
        <w:t>..................................................................20</w:t>
      </w:r>
    </w:p>
    <w:p w14:paraId="2E0094D5">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磋商</w:t>
      </w:r>
      <w:r>
        <w:rPr>
          <w:rFonts w:hint="eastAsia" w:ascii="仿宋_GB2312" w:hAnsi="仿宋_GB2312" w:eastAsia="仿宋_GB2312" w:cs="仿宋_GB2312"/>
          <w:b w:val="0"/>
          <w:bCs w:val="0"/>
          <w:color w:val="auto"/>
          <w:sz w:val="28"/>
          <w:szCs w:val="28"/>
          <w:highlight w:val="none"/>
          <w:lang w:val="en-US" w:eastAsia="en-US"/>
        </w:rPr>
        <w:t>响应文件格式与要求</w:t>
      </w:r>
      <w:r>
        <w:rPr>
          <w:rFonts w:hint="default" w:ascii="Times New Roman" w:hAnsi="Times New Roman" w:cs="Times New Roman"/>
          <w:color w:val="auto"/>
          <w:szCs w:val="22"/>
          <w:highlight w:val="none"/>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auto"/>
          <w:sz w:val="28"/>
          <w:szCs w:val="28"/>
          <w:highlight w:val="none"/>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auto"/>
          <w:spacing w:val="0"/>
          <w:szCs w:val="28"/>
          <w:highlight w:val="none"/>
          <w:lang w:eastAsia="zh-CN"/>
        </w:rPr>
      </w:pPr>
      <w:bookmarkStart w:id="6" w:name="_Toc12826"/>
      <w:r>
        <w:rPr>
          <w:rFonts w:hint="eastAsia" w:ascii="仿宋_GB2312" w:hAnsi="仿宋_GB2312" w:eastAsia="仿宋_GB2312" w:cs="仿宋_GB2312"/>
          <w:b/>
          <w:bCs/>
          <w:color w:val="auto"/>
          <w:sz w:val="28"/>
          <w:szCs w:val="28"/>
          <w:highlight w:val="none"/>
          <w:lang w:val="en-US" w:eastAsia="zh-CN"/>
        </w:rPr>
        <w:t xml:space="preserve">第一章 </w:t>
      </w:r>
      <w:bookmarkEnd w:id="4"/>
      <w:bookmarkEnd w:id="5"/>
      <w:bookmarkEnd w:id="6"/>
      <w:r>
        <w:rPr>
          <w:rFonts w:hint="eastAsia" w:ascii="仿宋_GB2312" w:hAnsi="仿宋_GB2312" w:eastAsia="仿宋_GB2312" w:cs="仿宋_GB2312"/>
          <w:b/>
          <w:bCs/>
          <w:color w:val="auto"/>
          <w:sz w:val="28"/>
          <w:szCs w:val="28"/>
          <w:highlight w:val="none"/>
          <w:lang w:val="en-US" w:eastAsia="zh-CN"/>
        </w:rPr>
        <w:t>邀请书</w:t>
      </w:r>
    </w:p>
    <w:p w14:paraId="69C03299">
      <w:pPr>
        <w:bidi w:val="0"/>
        <w:rPr>
          <w:rFonts w:hint="eastAsia" w:ascii="仿宋_GB2312" w:hAnsi="仿宋_GB2312" w:eastAsia="仿宋_GB2312" w:cs="仿宋_GB2312"/>
          <w:color w:val="auto"/>
          <w:highlight w:val="none"/>
          <w:lang w:eastAsia="zh-CN"/>
        </w:rPr>
      </w:pPr>
    </w:p>
    <w:p w14:paraId="710A42C3">
      <w:pPr>
        <w:pStyle w:val="3"/>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邀请公司名称：</w:t>
      </w:r>
    </w:p>
    <w:p w14:paraId="40014178">
      <w:pPr>
        <w:pStyle w:val="3"/>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 条件</w:t>
      </w:r>
      <w:r>
        <w:rPr>
          <w:rFonts w:hint="eastAsia" w:ascii="仿宋_GB2312" w:hAnsi="仿宋_GB2312" w:eastAsia="仿宋_GB2312" w:cs="仿宋_GB2312"/>
          <w:color w:val="auto"/>
          <w:sz w:val="24"/>
          <w:szCs w:val="24"/>
          <w:highlight w:val="none"/>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auto"/>
          <w:sz w:val="24"/>
          <w:szCs w:val="24"/>
          <w:highlight w:val="none"/>
        </w:rPr>
      </w:pPr>
      <w:bookmarkStart w:id="7" w:name="_Toc360107106"/>
      <w:bookmarkStart w:id="8" w:name="_Toc30209"/>
      <w:bookmarkStart w:id="9" w:name="_Toc22625"/>
      <w:bookmarkStart w:id="10" w:name="_Toc26553"/>
      <w:bookmarkStart w:id="11" w:name="_Toc32608"/>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本项</w:t>
      </w:r>
      <w:r>
        <w:rPr>
          <w:rFonts w:hint="eastAsia" w:ascii="仿宋_GB2312" w:hAnsi="仿宋_GB2312" w:eastAsia="仿宋_GB2312" w:cs="仿宋_GB2312"/>
          <w:color w:val="auto"/>
          <w:sz w:val="24"/>
          <w:szCs w:val="24"/>
          <w:highlight w:val="none"/>
          <w:lang w:val="en-US" w:eastAsia="zh-CN"/>
        </w:rPr>
        <w:t>目巴彦淖尔市医院网络安全服务项目已由 2025年4月9日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巴彦淖尔市医院党委会议</w:t>
      </w:r>
      <w:r>
        <w:rPr>
          <w:rFonts w:hint="eastAsia" w:ascii="仿宋_GB2312" w:hAnsi="仿宋_GB2312" w:eastAsia="仿宋_GB2312" w:cs="仿宋_GB2312"/>
          <w:color w:val="auto"/>
          <w:sz w:val="24"/>
          <w:szCs w:val="24"/>
          <w:highlight w:val="none"/>
          <w:lang w:eastAsia="zh-CN"/>
        </w:rPr>
        <w:t>纪</w:t>
      </w:r>
      <w:r>
        <w:rPr>
          <w:rFonts w:hint="eastAsia" w:ascii="仿宋_GB2312" w:hAnsi="仿宋_GB2312" w:eastAsia="仿宋_GB2312" w:cs="仿宋_GB2312"/>
          <w:color w:val="auto"/>
          <w:sz w:val="24"/>
          <w:szCs w:val="24"/>
          <w:highlight w:val="none"/>
          <w:lang w:val="en-US" w:eastAsia="zh-CN"/>
        </w:rPr>
        <w:t>要》（巴医党纪要〔2025〕7号）批准实</w:t>
      </w:r>
      <w:r>
        <w:rPr>
          <w:rFonts w:hint="eastAsia" w:ascii="仿宋_GB2312" w:hAnsi="仿宋_GB2312" w:eastAsia="仿宋_GB2312" w:cs="仿宋_GB2312"/>
          <w:color w:val="auto"/>
          <w:sz w:val="24"/>
          <w:szCs w:val="24"/>
          <w:highlight w:val="none"/>
          <w:lang w:eastAsia="zh-CN"/>
        </w:rPr>
        <w:t>施，资金</w:t>
      </w:r>
      <w:r>
        <w:rPr>
          <w:rFonts w:hint="eastAsia" w:ascii="仿宋_GB2312" w:hAnsi="仿宋_GB2312" w:eastAsia="仿宋_GB2312" w:cs="仿宋_GB2312"/>
          <w:color w:val="auto"/>
          <w:sz w:val="24"/>
          <w:szCs w:val="24"/>
          <w:highlight w:val="none"/>
        </w:rPr>
        <w:t>来自</w:t>
      </w:r>
      <w:r>
        <w:rPr>
          <w:rFonts w:hint="eastAsia" w:ascii="仿宋_GB2312" w:hAnsi="仿宋_GB2312" w:eastAsia="仿宋_GB2312" w:cs="仿宋_GB2312"/>
          <w:color w:val="auto"/>
          <w:sz w:val="24"/>
          <w:szCs w:val="24"/>
          <w:highlight w:val="none"/>
          <w:lang w:eastAsia="zh-CN"/>
        </w:rPr>
        <w:t>源自有资金</w:t>
      </w:r>
      <w:r>
        <w:rPr>
          <w:rFonts w:hint="eastAsia" w:ascii="仿宋_GB2312" w:hAnsi="仿宋_GB2312" w:eastAsia="仿宋_GB2312" w:cs="仿宋_GB2312"/>
          <w:color w:val="auto"/>
          <w:sz w:val="24"/>
          <w:szCs w:val="24"/>
          <w:highlight w:val="none"/>
        </w:rPr>
        <w:t>，项目出资比例为100%。项目已具备</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条件，诚邀贵单位参加。</w:t>
      </w:r>
    </w:p>
    <w:p w14:paraId="0C742D59">
      <w:pPr>
        <w:pStyle w:val="3"/>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项目概况与</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2.1项目的实施地点：</w:t>
      </w:r>
      <w:r>
        <w:rPr>
          <w:rFonts w:hint="eastAsia" w:ascii="仿宋_GB2312" w:hAnsi="仿宋_GB2312" w:eastAsia="仿宋_GB2312" w:cs="仿宋_GB2312"/>
          <w:color w:val="auto"/>
          <w:sz w:val="24"/>
          <w:szCs w:val="24"/>
          <w:highlight w:val="none"/>
          <w:u w:val="single"/>
        </w:rPr>
        <w:t xml:space="preserve"> 巴彦淖尔市</w:t>
      </w:r>
      <w:r>
        <w:rPr>
          <w:rFonts w:hint="eastAsia" w:ascii="仿宋_GB2312" w:hAnsi="仿宋_GB2312" w:eastAsia="仿宋_GB2312" w:cs="仿宋_GB2312"/>
          <w:color w:val="auto"/>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2.2预算金额：</w:t>
      </w:r>
      <w:r>
        <w:rPr>
          <w:rFonts w:hint="eastAsia" w:ascii="宋体" w:hAnsi="宋体" w:eastAsia="仿宋_GB2312" w:cs="宋体"/>
          <w:bCs/>
          <w:color w:val="auto"/>
          <w:sz w:val="24"/>
          <w:highlight w:val="none"/>
          <w:lang w:val="en-US" w:eastAsia="zh-CN"/>
        </w:rPr>
        <w:t>335</w:t>
      </w:r>
      <w:r>
        <w:rPr>
          <w:rFonts w:hint="eastAsia" w:ascii="宋体" w:hAnsi="宋体" w:cs="宋体"/>
          <w:bCs/>
          <w:color w:val="auto"/>
          <w:sz w:val="24"/>
          <w:highlight w:val="none"/>
        </w:rPr>
        <w:t>000</w:t>
      </w:r>
      <w:r>
        <w:rPr>
          <w:rFonts w:hint="eastAsia" w:ascii="仿宋_GB2312" w:hAnsi="仿宋_GB2312" w:eastAsia="仿宋_GB2312" w:cs="仿宋_GB2312"/>
          <w:color w:val="auto"/>
          <w:sz w:val="24"/>
          <w:szCs w:val="24"/>
          <w:highlight w:val="none"/>
          <w:u w:val="none"/>
          <w:lang w:val="en-US" w:eastAsia="zh-CN"/>
        </w:rPr>
        <w:t>元。</w:t>
      </w:r>
    </w:p>
    <w:p w14:paraId="0D2F9051">
      <w:pPr>
        <w:spacing w:line="360" w:lineRule="auto"/>
        <w:ind w:firstLine="480" w:firstLineChars="200"/>
        <w:rPr>
          <w:rFonts w:hint="default" w:ascii="宋体" w:hAnsi="宋体" w:eastAsia="仿宋_GB2312" w:cs="宋体"/>
          <w:bCs/>
          <w:color w:val="auto"/>
          <w:sz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服务期限为</w:t>
      </w:r>
      <w:r>
        <w:rPr>
          <w:rFonts w:hint="eastAsia" w:ascii="仿宋_GB2312" w:hAnsi="仿宋_GB2312" w:eastAsia="仿宋_GB2312" w:cs="仿宋_GB2312"/>
          <w:color w:val="FF0000"/>
          <w:sz w:val="24"/>
          <w:szCs w:val="24"/>
          <w:highlight w:val="none"/>
        </w:rPr>
        <w:t xml:space="preserve"> </w:t>
      </w:r>
      <w:r>
        <w:rPr>
          <w:rFonts w:hint="eastAsia" w:ascii="宋体" w:hAnsi="宋体" w:eastAsia="仿宋_GB2312" w:cs="宋体"/>
          <w:bCs/>
          <w:color w:val="auto"/>
          <w:sz w:val="24"/>
          <w:highlight w:val="none"/>
          <w:lang w:val="en-US" w:eastAsia="zh-CN"/>
        </w:rPr>
        <w:t>：合同签订之日起3年。</w:t>
      </w:r>
    </w:p>
    <w:p w14:paraId="2F01CA92">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项目的包次划分（如果有）</w:t>
      </w:r>
      <w:r>
        <w:rPr>
          <w:rFonts w:hint="eastAsia" w:ascii="仿宋_GB2312" w:hAnsi="仿宋_GB2312" w:eastAsia="仿宋_GB2312" w:cs="仿宋_GB2312"/>
          <w:color w:val="auto"/>
          <w:sz w:val="24"/>
          <w:szCs w:val="24"/>
          <w:highlight w:val="none"/>
          <w:u w:val="none"/>
          <w:lang w:val="en-US" w:eastAsia="zh-CN"/>
        </w:rPr>
        <w:t>1包</w:t>
      </w:r>
      <w:r>
        <w:rPr>
          <w:rFonts w:hint="eastAsia" w:ascii="仿宋_GB2312" w:hAnsi="仿宋_GB2312" w:eastAsia="仿宋_GB2312" w:cs="仿宋_GB2312"/>
          <w:color w:val="auto"/>
          <w:sz w:val="24"/>
          <w:szCs w:val="24"/>
          <w:highlight w:val="none"/>
          <w:u w:val="none"/>
        </w:rPr>
        <w:t xml:space="preserve">    </w:t>
      </w:r>
    </w:p>
    <w:p w14:paraId="492157C9">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none"/>
        </w:rPr>
        <w:t xml:space="preserve">          </w:t>
      </w:r>
    </w:p>
    <w:p w14:paraId="0552767A">
      <w:pPr>
        <w:pStyle w:val="3"/>
        <w:spacing w:line="240" w:lineRule="auto"/>
        <w:jc w:val="both"/>
        <w:rPr>
          <w:rFonts w:hint="eastAsia" w:ascii="仿宋_GB2312" w:hAnsi="仿宋_GB2312" w:eastAsia="仿宋_GB2312" w:cs="仿宋_GB2312"/>
          <w:color w:val="auto"/>
          <w:sz w:val="24"/>
          <w:szCs w:val="24"/>
          <w:highlight w:val="none"/>
          <w:lang w:eastAsia="zh-CN"/>
        </w:rPr>
      </w:pPr>
      <w:bookmarkStart w:id="12" w:name="_Toc360107107"/>
      <w:bookmarkStart w:id="13" w:name="_Toc25665"/>
      <w:bookmarkStart w:id="14" w:name="_Toc26184"/>
      <w:bookmarkStart w:id="15" w:name="_Toc23257"/>
      <w:bookmarkStart w:id="16" w:name="_Toc3205"/>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申请人资格要求</w:t>
      </w:r>
      <w:bookmarkEnd w:id="12"/>
      <w:bookmarkEnd w:id="13"/>
      <w:bookmarkEnd w:id="14"/>
      <w:bookmarkEnd w:id="15"/>
      <w:bookmarkEnd w:id="16"/>
      <w:r>
        <w:rPr>
          <w:rFonts w:hint="eastAsia" w:ascii="仿宋_GB2312" w:hAnsi="仿宋_GB2312" w:eastAsia="仿宋_GB2312" w:cs="仿宋_GB2312"/>
          <w:color w:val="auto"/>
          <w:sz w:val="24"/>
          <w:szCs w:val="24"/>
          <w:highlight w:val="none"/>
          <w:lang w:eastAsia="zh-CN"/>
        </w:rPr>
        <w:t>（报名资料）</w:t>
      </w:r>
    </w:p>
    <w:p w14:paraId="32709EA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i w:val="0"/>
          <w:iCs w:val="0"/>
          <w:caps w:val="0"/>
          <w:color w:val="auto"/>
          <w:spacing w:val="0"/>
          <w:sz w:val="24"/>
          <w:szCs w:val="24"/>
          <w:highlight w:val="none"/>
          <w:shd w:val="clear" w:color="auto" w:fill="FFFFFF"/>
        </w:rPr>
        <w:t>具有独立承担民事责任的能力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rPr>
        <w:t>行政主管部门颁发的有效营业执照；</w:t>
      </w:r>
    </w:p>
    <w:p w14:paraId="39FF1F1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i w:val="0"/>
          <w:iCs w:val="0"/>
          <w:caps w:val="0"/>
          <w:color w:val="auto"/>
          <w:spacing w:val="0"/>
          <w:sz w:val="24"/>
          <w:szCs w:val="24"/>
          <w:highlight w:val="none"/>
          <w:shd w:val="clear" w:color="auto" w:fill="FFFFFF"/>
        </w:rPr>
        <w:t>具有良好的商业信誉和健全的财务会计制度；</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审计报告或</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2024年至今</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银行资信证明）</w:t>
      </w:r>
      <w:r>
        <w:rPr>
          <w:rFonts w:hint="eastAsia" w:ascii="仿宋_GB2312" w:hAnsi="仿宋_GB2312" w:eastAsia="仿宋_GB2312" w:cs="仿宋_GB2312"/>
          <w:color w:val="auto"/>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i w:val="0"/>
          <w:iCs w:val="0"/>
          <w:caps w:val="0"/>
          <w:color w:val="auto"/>
          <w:spacing w:val="0"/>
          <w:sz w:val="24"/>
          <w:szCs w:val="24"/>
          <w:highlight w:val="none"/>
          <w:shd w:val="clear" w:color="auto" w:fill="FFFFFF"/>
        </w:rPr>
        <w:t>具有履行合同所必需的设备和专业技术能力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3.4、</w:t>
      </w:r>
      <w:r>
        <w:rPr>
          <w:rFonts w:hint="eastAsia" w:ascii="仿宋_GB2312" w:hAnsi="仿宋_GB2312" w:eastAsia="仿宋_GB2312" w:cs="仿宋_GB2312"/>
          <w:i w:val="0"/>
          <w:iCs w:val="0"/>
          <w:caps w:val="0"/>
          <w:color w:val="auto"/>
          <w:spacing w:val="0"/>
          <w:sz w:val="24"/>
          <w:szCs w:val="24"/>
          <w:highlight w:val="none"/>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、本项目不接受联合体投标；</w:t>
      </w:r>
    </w:p>
    <w:p w14:paraId="5472309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、有以下情况的不得参与本次招标：</w:t>
      </w:r>
    </w:p>
    <w:p w14:paraId="5CE3237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.2参加本次政府采购活动前三年内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2022、2023、2024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，在经营活动中有重大违法记录；被“信用中国”网站列入失信被执行人、重大税收违法</w:t>
      </w:r>
      <w:r>
        <w:rPr>
          <w:rFonts w:hint="eastAsia" w:ascii="仿宋_GB2312" w:hAnsi="仿宋_GB2312" w:eastAsia="仿宋_GB2312" w:cs="仿宋_GB2312"/>
          <w:color w:val="auto"/>
          <w:sz w:val="24"/>
          <w:szCs w:val="24"/>
          <w:highlight w:val="none"/>
          <w:lang w:eastAsia="zh-CN"/>
        </w:rPr>
        <w:t>失信主体</w:t>
      </w:r>
      <w:r>
        <w:rPr>
          <w:rFonts w:hint="eastAsia" w:ascii="仿宋_GB2312" w:hAnsi="仿宋_GB2312" w:eastAsia="仿宋_GB2312" w:cs="仿宋_GB2312"/>
          <w:color w:val="auto"/>
          <w:sz w:val="24"/>
          <w:szCs w:val="24"/>
          <w:highlight w:val="none"/>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auto"/>
          <w:sz w:val="24"/>
          <w:szCs w:val="24"/>
          <w:highlight w:val="none"/>
        </w:rPr>
      </w:pPr>
    </w:p>
    <w:p w14:paraId="1DFFC4EC">
      <w:pPr>
        <w:pStyle w:val="9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资格审查方法：</w:t>
      </w:r>
      <w:r>
        <w:rPr>
          <w:rFonts w:hint="eastAsia" w:ascii="仿宋_GB2312" w:hAnsi="仿宋_GB2312" w:eastAsia="仿宋_GB2312" w:cs="仿宋_GB2312"/>
          <w:color w:val="auto"/>
          <w:sz w:val="24"/>
          <w:szCs w:val="24"/>
          <w:highlight w:val="none"/>
          <w:u w:val="single"/>
        </w:rPr>
        <w:t xml:space="preserve"> 资格后审</w:t>
      </w:r>
    </w:p>
    <w:p w14:paraId="184ADD31">
      <w:pPr>
        <w:pStyle w:val="3"/>
        <w:jc w:val="both"/>
        <w:rPr>
          <w:rFonts w:hint="eastAsia" w:ascii="仿宋_GB2312" w:hAnsi="仿宋_GB2312" w:eastAsia="仿宋_GB2312" w:cs="仿宋_GB2312"/>
          <w:color w:val="auto"/>
          <w:sz w:val="24"/>
          <w:szCs w:val="24"/>
          <w:highlight w:val="none"/>
        </w:rPr>
      </w:pPr>
      <w:bookmarkStart w:id="17" w:name="_Toc14459"/>
      <w:bookmarkStart w:id="18" w:name="_Toc27248"/>
      <w:bookmarkStart w:id="19" w:name="_Toc11390"/>
      <w:bookmarkStart w:id="20" w:name="_Toc360107108"/>
      <w:bookmarkStart w:id="21" w:name="_Toc23728"/>
      <w:r>
        <w:rPr>
          <w:rFonts w:hint="eastAsia" w:ascii="仿宋_GB2312" w:hAnsi="仿宋_GB2312" w:eastAsia="仿宋_GB2312" w:cs="仿宋_GB2312"/>
          <w:color w:val="auto"/>
          <w:sz w:val="24"/>
          <w:szCs w:val="24"/>
          <w:highlight w:val="none"/>
        </w:rPr>
        <w:t xml:space="preserve">4. </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文件的获取</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i w:val="0"/>
          <w:iCs w:val="0"/>
          <w:caps w:val="0"/>
          <w:color w:val="auto"/>
          <w:spacing w:val="0"/>
          <w:w w:val="90"/>
          <w:sz w:val="24"/>
          <w:szCs w:val="24"/>
          <w:highlight w:val="none"/>
          <w:shd w:val="clear" w:color="auto" w:fill="FFFFFF"/>
          <w:lang w:val="en-US" w:eastAsia="zh-CN"/>
        </w:rPr>
        <w:t>时间：2025年10月11日-2025年10月15日，</w:t>
      </w:r>
      <w:r>
        <w:rPr>
          <w:rFonts w:hint="eastAsia" w:ascii="仿宋_GB2312" w:hAnsi="仿宋_GB2312" w:eastAsia="仿宋_GB2312" w:cs="仿宋_GB2312"/>
          <w:i w:val="0"/>
          <w:iCs w:val="0"/>
          <w:caps w:val="0"/>
          <w:color w:val="auto"/>
          <w:spacing w:val="0"/>
          <w:w w:val="90"/>
          <w:sz w:val="24"/>
          <w:szCs w:val="24"/>
          <w:highlight w:val="none"/>
          <w:shd w:val="clear" w:color="auto" w:fill="FFFFFF"/>
        </w:rPr>
        <w:t>每天上</w:t>
      </w:r>
      <w:r>
        <w:rPr>
          <w:rFonts w:hint="eastAsia" w:ascii="仿宋_GB2312" w:hAnsi="仿宋_GB2312" w:eastAsia="仿宋_GB2312" w:cs="仿宋_GB2312"/>
          <w:i w:val="0"/>
          <w:iCs w:val="0"/>
          <w:caps w:val="0"/>
          <w:color w:val="auto"/>
          <w:spacing w:val="0"/>
          <w:sz w:val="24"/>
          <w:szCs w:val="24"/>
          <w:highlight w:val="none"/>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方式：巴彦淖尔市医院官网下载</w:t>
      </w:r>
      <w:r>
        <w:rPr>
          <w:rFonts w:hint="eastAsia" w:ascii="仿宋_GB2312" w:hAnsi="仿宋_GB2312" w:eastAsia="仿宋_GB2312" w:cs="仿宋_GB2312"/>
          <w:color w:val="auto"/>
          <w:sz w:val="24"/>
          <w:szCs w:val="24"/>
          <w:highlight w:val="none"/>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报名截止时间：2025年10月15日18时00分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auto"/>
          <w:sz w:val="24"/>
          <w:szCs w:val="24"/>
          <w:highlight w:val="none"/>
        </w:rPr>
      </w:pPr>
      <w:bookmarkStart w:id="22" w:name="_Toc4562"/>
      <w:bookmarkStart w:id="23" w:name="_Toc24767"/>
      <w:bookmarkStart w:id="24" w:name="_Toc360107109"/>
      <w:bookmarkStart w:id="25" w:name="_Toc17437"/>
      <w:bookmarkStart w:id="26" w:name="_Toc28222"/>
      <w:r>
        <w:rPr>
          <w:rFonts w:hint="eastAsia" w:ascii="仿宋_GB2312" w:hAnsi="仿宋_GB2312" w:eastAsia="仿宋_GB2312" w:cs="仿宋_GB2312"/>
          <w:b/>
          <w:bCs/>
          <w:color w:val="auto"/>
          <w:kern w:val="2"/>
          <w:sz w:val="24"/>
          <w:szCs w:val="24"/>
          <w:highlight w:val="none"/>
          <w:lang w:val="en-US" w:eastAsia="zh-CN" w:bidi="ar-SA"/>
        </w:rPr>
        <w:t>5.</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 xml:space="preserve">5.1 </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文件递交的截止时间为</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202</w:t>
      </w:r>
      <w:r>
        <w:rPr>
          <w:rFonts w:hint="eastAsia" w:ascii="仿宋_GB2312" w:hAnsi="仿宋_GB2312" w:eastAsia="仿宋_GB2312" w:cs="仿宋_GB2312"/>
          <w:color w:val="auto"/>
          <w:sz w:val="24"/>
          <w:szCs w:val="24"/>
          <w:highlight w:val="none"/>
          <w:u w:val="none"/>
          <w:lang w:val="en-US" w:eastAsia="zh-CN"/>
        </w:rPr>
        <w:t>5</w:t>
      </w:r>
      <w:r>
        <w:rPr>
          <w:rFonts w:hint="eastAsia" w:ascii="仿宋_GB2312" w:hAnsi="仿宋_GB2312" w:eastAsia="仿宋_GB2312" w:cs="仿宋_GB2312"/>
          <w:color w:val="auto"/>
          <w:sz w:val="24"/>
          <w:szCs w:val="24"/>
          <w:highlight w:val="none"/>
          <w:u w:val="none"/>
          <w:lang w:eastAsia="zh-CN"/>
        </w:rPr>
        <w:t>年</w:t>
      </w:r>
      <w:r>
        <w:rPr>
          <w:rFonts w:hint="eastAsia" w:ascii="仿宋_GB2312" w:hAnsi="仿宋_GB2312" w:eastAsia="仿宋_GB2312" w:cs="仿宋_GB2312"/>
          <w:color w:val="auto"/>
          <w:sz w:val="24"/>
          <w:szCs w:val="24"/>
          <w:highlight w:val="none"/>
          <w:u w:val="none"/>
          <w:lang w:val="en-US" w:eastAsia="zh-CN"/>
        </w:rPr>
        <w:t>10</w:t>
      </w:r>
      <w:r>
        <w:rPr>
          <w:rFonts w:hint="eastAsia" w:ascii="仿宋_GB2312" w:hAnsi="仿宋_GB2312" w:eastAsia="仿宋_GB2312" w:cs="仿宋_GB2312"/>
          <w:color w:val="auto"/>
          <w:sz w:val="24"/>
          <w:szCs w:val="24"/>
          <w:highlight w:val="none"/>
          <w:u w:val="none"/>
          <w:lang w:eastAsia="zh-CN"/>
        </w:rPr>
        <w:t>月</w:t>
      </w:r>
      <w:r>
        <w:rPr>
          <w:rFonts w:hint="eastAsia" w:ascii="仿宋_GB2312" w:hAnsi="仿宋_GB2312" w:eastAsia="仿宋_GB2312" w:cs="仿宋_GB2312"/>
          <w:color w:val="auto"/>
          <w:sz w:val="24"/>
          <w:szCs w:val="24"/>
          <w:highlight w:val="none"/>
          <w:u w:val="none"/>
          <w:lang w:val="en-US" w:eastAsia="zh-CN"/>
        </w:rPr>
        <w:t>22</w:t>
      </w:r>
      <w:r>
        <w:rPr>
          <w:rFonts w:hint="eastAsia" w:ascii="仿宋_GB2312" w:hAnsi="仿宋_GB2312" w:eastAsia="仿宋_GB2312" w:cs="仿宋_GB2312"/>
          <w:color w:val="auto"/>
          <w:sz w:val="24"/>
          <w:szCs w:val="24"/>
          <w:highlight w:val="none"/>
          <w:u w:val="none"/>
          <w:lang w:eastAsia="zh-CN"/>
        </w:rPr>
        <w:t>日</w:t>
      </w:r>
      <w:r>
        <w:rPr>
          <w:rFonts w:hint="eastAsia" w:ascii="仿宋_GB2312" w:hAnsi="仿宋_GB2312" w:eastAsia="仿宋_GB2312" w:cs="仿宋_GB2312"/>
          <w:color w:val="auto"/>
          <w:sz w:val="24"/>
          <w:szCs w:val="24"/>
          <w:highlight w:val="none"/>
          <w:u w:val="none"/>
          <w:lang w:val="en-US" w:eastAsia="zh-CN"/>
        </w:rPr>
        <w:t>15</w:t>
      </w:r>
      <w:r>
        <w:rPr>
          <w:rFonts w:hint="eastAsia" w:ascii="仿宋_GB2312" w:hAnsi="仿宋_GB2312" w:eastAsia="仿宋_GB2312" w:cs="仿宋_GB2312"/>
          <w:color w:val="auto"/>
          <w:sz w:val="24"/>
          <w:szCs w:val="24"/>
          <w:highlight w:val="none"/>
          <w:u w:val="none"/>
        </w:rPr>
        <w:t>时</w:t>
      </w:r>
      <w:r>
        <w:rPr>
          <w:rFonts w:hint="eastAsia" w:ascii="仿宋_GB2312" w:hAnsi="仿宋_GB2312" w:eastAsia="仿宋_GB2312" w:cs="仿宋_GB2312"/>
          <w:color w:val="auto"/>
          <w:sz w:val="24"/>
          <w:szCs w:val="24"/>
          <w:highlight w:val="none"/>
          <w:u w:val="none"/>
          <w:lang w:val="en-US" w:eastAsia="zh-CN"/>
        </w:rPr>
        <w:t>3</w:t>
      </w:r>
      <w:r>
        <w:rPr>
          <w:rFonts w:hint="eastAsia" w:ascii="仿宋_GB2312" w:hAnsi="仿宋_GB2312" w:eastAsia="仿宋_GB2312" w:cs="仿宋_GB2312"/>
          <w:color w:val="auto"/>
          <w:sz w:val="24"/>
          <w:szCs w:val="24"/>
          <w:highlight w:val="none"/>
          <w:u w:val="none"/>
        </w:rPr>
        <w:t>0分</w:t>
      </w:r>
      <w:r>
        <w:rPr>
          <w:rFonts w:hint="eastAsia" w:ascii="仿宋_GB2312" w:hAnsi="仿宋_GB2312" w:eastAsia="仿宋_GB2312" w:cs="仿宋_GB2312"/>
          <w:color w:val="auto"/>
          <w:sz w:val="24"/>
          <w:szCs w:val="24"/>
          <w:highlight w:val="none"/>
        </w:rPr>
        <w:t>，地点为</w:t>
      </w:r>
      <w:r>
        <w:rPr>
          <w:rFonts w:hint="eastAsia" w:ascii="仿宋_GB2312" w:hAnsi="仿宋_GB2312" w:eastAsia="仿宋_GB2312" w:cs="仿宋_GB2312"/>
          <w:color w:val="auto"/>
          <w:sz w:val="24"/>
          <w:szCs w:val="24"/>
          <w:highlight w:val="none"/>
          <w:u w:val="none"/>
        </w:rPr>
        <w:t>巴彦淖尔市临河区</w:t>
      </w:r>
      <w:r>
        <w:rPr>
          <w:rFonts w:hint="eastAsia" w:ascii="仿宋_GB2312" w:hAnsi="仿宋_GB2312" w:eastAsia="仿宋_GB2312" w:cs="仿宋_GB2312"/>
          <w:color w:val="auto"/>
          <w:sz w:val="24"/>
          <w:szCs w:val="24"/>
          <w:highlight w:val="none"/>
          <w:u w:val="none"/>
          <w:lang w:eastAsia="zh-CN"/>
        </w:rPr>
        <w:t>乌兰布和路</w:t>
      </w:r>
      <w:r>
        <w:rPr>
          <w:rFonts w:hint="eastAsia" w:ascii="仿宋_GB2312" w:hAnsi="仿宋_GB2312" w:eastAsia="仿宋_GB2312" w:cs="仿宋_GB2312"/>
          <w:color w:val="auto"/>
          <w:sz w:val="24"/>
          <w:szCs w:val="24"/>
          <w:highlight w:val="none"/>
          <w:u w:val="none"/>
          <w:lang w:val="en-US" w:eastAsia="zh-CN"/>
        </w:rPr>
        <w:t>98号巴彦淖尔市医院1号会议室</w:t>
      </w:r>
      <w:r>
        <w:rPr>
          <w:rFonts w:hint="eastAsia" w:ascii="仿宋_GB2312" w:hAnsi="仿宋_GB2312" w:eastAsia="仿宋_GB2312" w:cs="仿宋_GB2312"/>
          <w:color w:val="auto"/>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逾期送达的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人不予受理。</w:t>
      </w:r>
    </w:p>
    <w:p w14:paraId="1DF46008">
      <w:pPr>
        <w:pStyle w:val="3"/>
        <w:spacing w:before="0" w:after="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6.其他补充事宜</w:t>
      </w:r>
    </w:p>
    <w:p w14:paraId="1E6AA19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1、需要落实的政府采购政策：</w:t>
      </w:r>
    </w:p>
    <w:p w14:paraId="3B9C7C4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7.联系方式</w:t>
      </w:r>
    </w:p>
    <w:p w14:paraId="0A37FBBD">
      <w:pPr>
        <w:topLinePunct/>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color w:val="auto"/>
          <w:sz w:val="24"/>
          <w:szCs w:val="24"/>
          <w:highlight w:val="none"/>
          <w:u w:val="none"/>
          <w:lang w:eastAsia="zh-CN"/>
        </w:rPr>
        <w:t>贾先生</w:t>
      </w:r>
    </w:p>
    <w:p w14:paraId="778BEB96">
      <w:pPr>
        <w:topLinePunct/>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val="en-US" w:eastAsia="zh-CN"/>
        </w:rPr>
        <w:t xml:space="preserve"> 巴彦淖尔市临河区乌兰布和路98号 </w:t>
      </w:r>
      <w:r>
        <w:rPr>
          <w:rFonts w:hint="eastAsia" w:ascii="仿宋_GB2312" w:hAnsi="仿宋_GB2312" w:eastAsia="仿宋_GB2312" w:cs="仿宋_GB2312"/>
          <w:color w:val="auto"/>
          <w:sz w:val="24"/>
          <w:szCs w:val="24"/>
          <w:highlight w:val="none"/>
          <w:u w:val="none"/>
        </w:rPr>
        <w:t xml:space="preserve">   </w:t>
      </w:r>
    </w:p>
    <w:p w14:paraId="2C512B44">
      <w:pPr>
        <w:topLinePunct/>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none"/>
          <w:lang w:val="en-US" w:eastAsia="zh-CN"/>
        </w:rPr>
        <w:t>0478-8780066</w:t>
      </w:r>
    </w:p>
    <w:p w14:paraId="50B37D2B">
      <w:pPr>
        <w:pStyle w:val="13"/>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电子邮件：</w:t>
      </w:r>
      <w:r>
        <w:rPr>
          <w:rFonts w:hint="eastAsia" w:ascii="仿宋_GB2312" w:hAnsi="仿宋_GB2312" w:eastAsia="仿宋_GB2312" w:cs="仿宋_GB2312"/>
          <w:color w:val="auto"/>
          <w:sz w:val="24"/>
          <w:szCs w:val="24"/>
          <w:highlight w:val="none"/>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auto"/>
          <w:sz w:val="28"/>
          <w:szCs w:val="28"/>
          <w:highlight w:val="none"/>
        </w:rPr>
      </w:pPr>
      <w:bookmarkStart w:id="27" w:name="_Toc6834"/>
      <w:bookmarkStart w:id="28" w:name="_Toc14476"/>
      <w:bookmarkStart w:id="29" w:name="_Toc12553"/>
      <w:bookmarkStart w:id="30" w:name="_Toc19314"/>
    </w:p>
    <w:p w14:paraId="6C8E5684">
      <w:pPr>
        <w:pStyle w:val="29"/>
        <w:ind w:firstLine="3654" w:firstLineChars="13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第二章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6070" w:type="dxa"/>
            <w:noWrap w:val="0"/>
            <w:vAlign w:val="center"/>
          </w:tcPr>
          <w:p w14:paraId="3B8D400A">
            <w:pPr>
              <w:ind w:firstLine="0" w:firstLineChars="0"/>
              <w:jc w:val="both"/>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sz w:val="24"/>
                <w:szCs w:val="24"/>
                <w:highlight w:val="none"/>
                <w:lang w:val="en-US" w:eastAsia="zh-CN"/>
              </w:rPr>
              <w:t>巴彦淖尔市医院网络安全服务项目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 xml:space="preserve">小写：335000元(大写：叁拾叁万伍仟元整)   </w:t>
            </w:r>
            <w:r>
              <w:rPr>
                <w:rFonts w:hint="eastAsia" w:ascii="仿宋_GB2312" w:hAnsi="仿宋_GB2312" w:eastAsia="仿宋_GB2312" w:cs="仿宋_GB2312"/>
                <w:b/>
                <w:color w:val="auto"/>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FF0000"/>
                <w:sz w:val="24"/>
                <w:szCs w:val="24"/>
                <w:highlight w:val="yellow"/>
                <w:lang w:eastAsia="zh-CN"/>
              </w:rPr>
            </w:pPr>
            <w:r>
              <w:rPr>
                <w:rFonts w:hint="eastAsia" w:ascii="仿宋_GB2312" w:hAnsi="仿宋_GB2312" w:eastAsia="仿宋_GB2312" w:cs="仿宋_GB2312"/>
                <w:color w:val="FF0000"/>
                <w:sz w:val="24"/>
                <w:szCs w:val="24"/>
                <w:highlight w:val="yellow"/>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FF0000"/>
                <w:sz w:val="24"/>
                <w:szCs w:val="24"/>
                <w:highlight w:val="yellow"/>
                <w:lang w:val="en-US" w:eastAsia="zh-CN"/>
              </w:rPr>
            </w:pPr>
            <w:r>
              <w:rPr>
                <w:rFonts w:hint="eastAsia" w:ascii="仿宋_GB2312" w:hAnsi="仿宋_GB2312" w:eastAsia="仿宋_GB2312" w:cs="仿宋_GB2312"/>
                <w:color w:val="FF0000"/>
                <w:sz w:val="24"/>
                <w:szCs w:val="24"/>
                <w:highlight w:val="yellow"/>
                <w:lang w:val="en-US" w:eastAsia="zh-CN"/>
              </w:rPr>
              <w:t>三年，</w:t>
            </w:r>
            <w:r>
              <w:rPr>
                <w:rFonts w:hint="eastAsia" w:ascii="宋体" w:hAnsi="宋体" w:eastAsia="仿宋_GB2312" w:cs="宋体"/>
                <w:bCs/>
                <w:color w:val="auto"/>
                <w:sz w:val="24"/>
                <w:highlight w:val="none"/>
                <w:lang w:val="en-US" w:eastAsia="zh-CN"/>
              </w:rPr>
              <w:t>合同签订之日起</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响应文件正本1份，副本</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电子版U盘1份</w:t>
            </w:r>
            <w:r>
              <w:rPr>
                <w:rFonts w:hint="eastAsia" w:ascii="仿宋_GB2312" w:hAnsi="仿宋_GB2312" w:eastAsia="仿宋_GB2312" w:cs="仿宋_GB2312"/>
                <w:color w:val="auto"/>
                <w:sz w:val="24"/>
                <w:szCs w:val="24"/>
                <w:highlight w:val="none"/>
              </w:rPr>
              <w:t>；</w:t>
            </w:r>
          </w:p>
          <w:p w14:paraId="6CF17AF1">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密封的包装袋上及包装袋所有封边必须加盖</w:t>
            </w:r>
            <w:r>
              <w:rPr>
                <w:rFonts w:hint="eastAsia" w:ascii="仿宋_GB2312" w:hAnsi="仿宋_GB2312" w:eastAsia="仿宋_GB2312" w:cs="仿宋_GB2312"/>
                <w:color w:val="auto"/>
                <w:sz w:val="24"/>
                <w:szCs w:val="24"/>
                <w:highlight w:val="none"/>
                <w:lang w:val="en-US" w:eastAsia="zh-CN"/>
              </w:rPr>
              <w:t>响应单位公章</w:t>
            </w:r>
            <w:r>
              <w:rPr>
                <w:rFonts w:hint="eastAsia" w:ascii="仿宋_GB2312" w:hAnsi="仿宋_GB2312" w:eastAsia="仿宋_GB2312" w:cs="仿宋_GB2312"/>
                <w:color w:val="auto"/>
                <w:sz w:val="24"/>
                <w:szCs w:val="24"/>
                <w:highlight w:val="none"/>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各</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可自行前往现场踏勘，如有需要，请主动与招标人联系，以便开展工作；发生费用由意向</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自行承担。本项目</w:t>
            </w:r>
            <w:r>
              <w:rPr>
                <w:rFonts w:hint="eastAsia" w:ascii="仿宋_GB2312" w:hAnsi="仿宋_GB2312" w:eastAsia="仿宋_GB2312" w:cs="仿宋_GB2312"/>
                <w:color w:val="auto"/>
                <w:sz w:val="24"/>
                <w:szCs w:val="24"/>
                <w:highlight w:val="none"/>
              </w:rPr>
              <w:t>不统一组织现场踏勘和答疑</w:t>
            </w:r>
          </w:p>
        </w:tc>
      </w:tr>
    </w:tbl>
    <w:p w14:paraId="39D0C84F">
      <w:pPr>
        <w:spacing w:line="240" w:lineRule="auto"/>
        <w:jc w:val="center"/>
        <w:rPr>
          <w:rFonts w:hint="eastAsia" w:ascii="仿宋_GB2312" w:hAnsi="仿宋_GB2312" w:eastAsia="仿宋_GB2312" w:cs="仿宋_GB2312"/>
          <w:color w:val="auto"/>
          <w:sz w:val="24"/>
          <w:szCs w:val="24"/>
          <w:highlight w:val="none"/>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70" w:type="dxa"/>
            <w:noWrap w:val="0"/>
            <w:vAlign w:val="center"/>
          </w:tcPr>
          <w:p w14:paraId="1691D0EE">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地点：巴彦淖尔市医院1号会议室</w:t>
            </w:r>
          </w:p>
          <w:p w14:paraId="12A2975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截止日期：2025年10月22日15时30分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w:t>
            </w:r>
          </w:p>
        </w:tc>
        <w:tc>
          <w:tcPr>
            <w:tcW w:w="6070" w:type="dxa"/>
            <w:noWrap w:val="0"/>
            <w:vAlign w:val="center"/>
          </w:tcPr>
          <w:p w14:paraId="7AA30D7A">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w:t>
            </w:r>
            <w:r>
              <w:rPr>
                <w:rFonts w:hint="eastAsia" w:ascii="仿宋_GB2312" w:hAnsi="仿宋_GB2312" w:eastAsia="仿宋_GB2312" w:cs="仿宋_GB2312"/>
                <w:color w:val="auto"/>
                <w:sz w:val="24"/>
                <w:szCs w:val="24"/>
                <w:highlight w:val="none"/>
                <w:lang w:val="en-US" w:eastAsia="zh-CN"/>
              </w:rPr>
              <w:t>2025年10月22日15时30分</w:t>
            </w:r>
          </w:p>
          <w:p w14:paraId="48D4BE7E">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val="en-US" w:eastAsia="zh-CN"/>
              </w:rPr>
              <w:t>巴彦淖尔市医院1号会议室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auto"/>
                <w:sz w:val="24"/>
                <w:szCs w:val="24"/>
                <w:highlight w:val="none"/>
                <w:lang w:val="en-US" w:eastAsia="zh-CN"/>
              </w:rPr>
            </w:pPr>
            <w:bookmarkStart w:id="31" w:name="_Toc333571400"/>
            <w:r>
              <w:rPr>
                <w:rFonts w:hint="eastAsia" w:ascii="仿宋_GB2312" w:hAnsi="仿宋_GB2312" w:eastAsia="仿宋_GB2312" w:cs="仿宋_GB2312"/>
                <w:color w:val="auto"/>
                <w:sz w:val="24"/>
                <w:szCs w:val="24"/>
                <w:highlight w:val="none"/>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070" w:type="dxa"/>
            <w:noWrap w:val="0"/>
            <w:vAlign w:val="center"/>
          </w:tcPr>
          <w:p w14:paraId="146B5522">
            <w:pPr>
              <w:numPr>
                <w:ilvl w:val="0"/>
                <w:numId w:val="6"/>
              </w:num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合同签订后，乙方提供发票，60个工作日内支付项目总金额的50% 。</w:t>
            </w:r>
          </w:p>
          <w:p w14:paraId="1E7E484B">
            <w:pPr>
              <w:numPr>
                <w:ilvl w:val="0"/>
                <w:numId w:val="6"/>
              </w:numPr>
              <w:spacing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项目自合同签署之日满两年验收合格后、乙方提供发票，60个工作日内支付项目总金额的 30% 。</w:t>
            </w:r>
          </w:p>
          <w:p w14:paraId="3A08BE5B">
            <w:pPr>
              <w:numPr>
                <w:ilvl w:val="0"/>
                <w:numId w:val="6"/>
              </w:numPr>
              <w:spacing w:line="400" w:lineRule="exact"/>
              <w:ind w:left="0" w:leftChars="0" w:firstLine="0" w:firstLineChars="0"/>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项目自合同签署之日满三年验收合格后、乙方提供发票，60个工作日内支付项目总金额的 20%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服务费</w:t>
            </w:r>
          </w:p>
        </w:tc>
        <w:tc>
          <w:tcPr>
            <w:tcW w:w="6070" w:type="dxa"/>
            <w:noWrap w:val="0"/>
            <w:vAlign w:val="center"/>
          </w:tcPr>
          <w:p w14:paraId="22213F4B">
            <w:pPr>
              <w:spacing w:line="240" w:lineRule="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其它说明</w:t>
            </w:r>
          </w:p>
        </w:tc>
        <w:tc>
          <w:tcPr>
            <w:tcW w:w="6070" w:type="dxa"/>
            <w:noWrap w:val="0"/>
            <w:vAlign w:val="center"/>
          </w:tcPr>
          <w:p w14:paraId="29562F10">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中、小、微企业及监狱企业参加本项目对小型和微型企业产品的价格给予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auto"/>
          <w:sz w:val="28"/>
          <w:szCs w:val="28"/>
          <w:highlight w:val="none"/>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7899"/>
      <w:bookmarkStart w:id="33" w:name="_Toc13777"/>
      <w:bookmarkStart w:id="34" w:name="_Toc31132"/>
      <w:bookmarkStart w:id="35" w:name="_Toc8734"/>
    </w:p>
    <w:p w14:paraId="61BC3FAE">
      <w:pPr>
        <w:pStyle w:val="2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 xml:space="preserve">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36" w:name="_Toc14701"/>
      <w:bookmarkStart w:id="37" w:name="_Toc16711"/>
      <w:bookmarkStart w:id="38" w:name="_Toc462127003"/>
      <w:r>
        <w:rPr>
          <w:rFonts w:hint="eastAsia" w:ascii="仿宋_GB2312" w:hAnsi="仿宋_GB2312" w:eastAsia="仿宋_GB2312" w:cs="仿宋_GB2312"/>
          <w:color w:val="auto"/>
          <w:sz w:val="24"/>
          <w:szCs w:val="24"/>
          <w:highlight w:val="none"/>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的解释权为组织本次采购活动的</w:t>
      </w:r>
      <w:r>
        <w:rPr>
          <w:rFonts w:hint="eastAsia" w:ascii="仿宋_GB2312" w:hAnsi="仿宋_GB2312" w:eastAsia="仿宋_GB2312" w:cs="仿宋_GB2312"/>
          <w:color w:val="auto"/>
          <w:sz w:val="24"/>
          <w:szCs w:val="24"/>
          <w:highlight w:val="none"/>
          <w:lang w:eastAsia="zh-CN"/>
        </w:rPr>
        <w:t>巴彦淖尔市医院招标采购办公室</w:t>
      </w:r>
      <w:r>
        <w:rPr>
          <w:rFonts w:hint="eastAsia" w:ascii="仿宋_GB2312" w:hAnsi="仿宋_GB2312" w:eastAsia="仿宋_GB2312" w:cs="仿宋_GB2312"/>
          <w:color w:val="auto"/>
          <w:sz w:val="24"/>
          <w:szCs w:val="24"/>
          <w:highlight w:val="none"/>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“采购人”是指依法进行政府采购的国家机关、事业单位、团体组织。本项目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的采购人特指</w:t>
      </w:r>
      <w:r>
        <w:rPr>
          <w:rFonts w:hint="eastAsia" w:ascii="仿宋_GB2312" w:hAnsi="仿宋_GB2312" w:eastAsia="仿宋_GB2312" w:cs="仿宋_GB2312"/>
          <w:color w:val="auto"/>
          <w:sz w:val="24"/>
          <w:szCs w:val="24"/>
          <w:highlight w:val="none"/>
          <w:u w:val="single"/>
          <w:lang w:val="en-US" w:eastAsia="zh-CN"/>
        </w:rPr>
        <w:t>内蒙古自治区巴彦淖尔市医院</w:t>
      </w:r>
      <w:r>
        <w:rPr>
          <w:rFonts w:hint="eastAsia" w:ascii="仿宋_GB2312" w:hAnsi="仿宋_GB2312" w:eastAsia="仿宋_GB2312" w:cs="仿宋_GB2312"/>
          <w:color w:val="auto"/>
          <w:sz w:val="24"/>
          <w:szCs w:val="24"/>
          <w:highlight w:val="none"/>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“采购代理机构”是指政府设立的负责本级财政性资金的集中采购和招标组织工作的专门机构。本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的采购代理机构特指</w:t>
      </w:r>
      <w:r>
        <w:rPr>
          <w:rFonts w:hint="eastAsia" w:ascii="仿宋_GB2312" w:hAnsi="仿宋_GB2312" w:eastAsia="仿宋_GB2312" w:cs="仿宋_GB2312"/>
          <w:color w:val="auto"/>
          <w:sz w:val="24"/>
          <w:szCs w:val="24"/>
          <w:highlight w:val="none"/>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”是指向采购人提供货物、工程或者服务的法人、其他组织或者自然人。本项目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特指响应本次</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要求，向</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提交投标文件的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在参加采购活动中也被称为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人”是指经评标委员会评审，授予合同的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39" w:name="_Toc28918"/>
      <w:bookmarkStart w:id="40" w:name="_Toc27050"/>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文件包括目录中所列部分，供应商应仔细阅读</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文件中所有的事项、格式、条款和规范要求，在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文件的各方面都做出实质性的响应，按照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文件的澄清：任何要求对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文件进行澄清的供应商，均应在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响应文件递交截止期3日前按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文件中的通讯地址以书面形式通知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响应文件递交截止前的任何时候，无论出于何种原因，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组织机构可主动地或在解答供应商提出的澄清问题时，对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文件的修改以书面形式通知所有供应商，并作为</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3-3、为使供应商编写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响应文件时，有充分时间对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文件的修改内容进行研究，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组织机构可以酌情延长</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4、供应商必须从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组织机构购买文件，供应商自行转让或复制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文件视为无效。文件一经售出，一律不退，仅作为本次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5、本文件的解释权归</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1" w:name="_Toc29210"/>
      <w:bookmarkStart w:id="42" w:name="_Toc24525"/>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磋商</w:t>
      </w:r>
      <w:r>
        <w:rPr>
          <w:rFonts w:hint="eastAsia" w:ascii="仿宋_GB2312" w:hAnsi="仿宋_GB2312" w:eastAsia="仿宋_GB2312" w:cs="仿宋_GB2312"/>
          <w:bCs/>
          <w:color w:val="auto"/>
          <w:sz w:val="24"/>
          <w:szCs w:val="24"/>
          <w:highlight w:val="none"/>
        </w:rPr>
        <w:t>内容：</w:t>
      </w:r>
    </w:p>
    <w:p w14:paraId="11654A78">
      <w:pPr>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本次磋商内容为</w:t>
      </w:r>
      <w:r>
        <w:rPr>
          <w:rFonts w:hint="eastAsia" w:ascii="仿宋_GB2312" w:hAnsi="仿宋_GB2312" w:eastAsia="仿宋_GB2312" w:cs="仿宋_GB2312"/>
          <w:color w:val="auto"/>
          <w:sz w:val="24"/>
          <w:szCs w:val="24"/>
          <w:highlight w:val="none"/>
          <w:lang w:val="en-US" w:eastAsia="zh-CN"/>
        </w:rPr>
        <w:t>巴彦淖尔市医院网络安全服务项目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单位必须对所有内容进行响应，否则按无效文件处理。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、评审、确定成交单位、签订合同以整个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val="0"/>
          <w:bCs/>
          <w:color w:val="auto"/>
          <w:sz w:val="24"/>
          <w:szCs w:val="24"/>
          <w:highlight w:val="none"/>
        </w:rPr>
        <w:t>供应商</w:t>
      </w:r>
      <w:bookmarkStart w:id="43" w:name="_Toc459025842"/>
      <w:r>
        <w:rPr>
          <w:rFonts w:hint="eastAsia" w:ascii="仿宋_GB2312" w:hAnsi="仿宋_GB2312" w:eastAsia="仿宋_GB2312" w:cs="仿宋_GB2312"/>
          <w:b w:val="0"/>
          <w:bCs/>
          <w:color w:val="auto"/>
          <w:sz w:val="24"/>
          <w:szCs w:val="24"/>
          <w:highlight w:val="none"/>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应提交证明其有资格参加投标和</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后有能力履行合同的文件，并作为其</w:t>
      </w:r>
      <w:r>
        <w:rPr>
          <w:rFonts w:hint="eastAsia" w:ascii="仿宋_GB2312" w:hAnsi="仿宋_GB2312" w:eastAsia="仿宋_GB2312" w:cs="仿宋_GB2312"/>
          <w:bCs/>
          <w:color w:val="auto"/>
          <w:sz w:val="24"/>
          <w:szCs w:val="24"/>
          <w:highlight w:val="none"/>
          <w:lang w:val="en-US" w:eastAsia="zh-CN"/>
        </w:rPr>
        <w:t>响应</w:t>
      </w:r>
      <w:r>
        <w:rPr>
          <w:rFonts w:hint="eastAsia" w:ascii="仿宋_GB2312" w:hAnsi="仿宋_GB2312" w:eastAsia="仿宋_GB2312" w:cs="仿宋_GB2312"/>
          <w:bCs/>
          <w:color w:val="auto"/>
          <w:sz w:val="24"/>
          <w:szCs w:val="24"/>
          <w:highlight w:val="none"/>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的资格证明文件</w:t>
      </w:r>
    </w:p>
    <w:p w14:paraId="01060CF4">
      <w:pPr>
        <w:spacing w:line="360" w:lineRule="auto"/>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rPr>
        <w:t>2.资格要求：</w:t>
      </w:r>
      <w:r>
        <w:rPr>
          <w:rFonts w:hint="eastAsia" w:ascii="仿宋_GB2312" w:hAnsi="仿宋_GB2312" w:eastAsia="仿宋_GB2312" w:cs="仿宋_GB2312"/>
          <w:color w:val="auto"/>
          <w:sz w:val="24"/>
          <w:szCs w:val="32"/>
          <w:highlight w:val="none"/>
          <w:lang w:eastAsia="zh-CN"/>
        </w:rPr>
        <w:t>详见邀请书</w:t>
      </w:r>
    </w:p>
    <w:p w14:paraId="268038F8">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rPr>
        <w:t>不得参加投标；</w:t>
      </w:r>
    </w:p>
    <w:p w14:paraId="7D1C4B8C">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本</w:t>
      </w:r>
      <w:r>
        <w:rPr>
          <w:rFonts w:hint="eastAsia" w:ascii="仿宋_GB2312" w:hAnsi="仿宋_GB2312" w:eastAsia="仿宋_GB2312" w:cs="仿宋_GB2312"/>
          <w:color w:val="auto"/>
          <w:sz w:val="24"/>
          <w:szCs w:val="32"/>
          <w:highlight w:val="none"/>
          <w:lang w:eastAsia="zh-CN"/>
        </w:rPr>
        <w:t>项目</w:t>
      </w:r>
      <w:r>
        <w:rPr>
          <w:rFonts w:hint="eastAsia" w:ascii="仿宋_GB2312" w:hAnsi="仿宋_GB2312" w:eastAsia="仿宋_GB2312" w:cs="仿宋_GB2312"/>
          <w:color w:val="auto"/>
          <w:sz w:val="24"/>
          <w:szCs w:val="32"/>
          <w:highlight w:val="none"/>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．其他有利于</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*以上资料文件应作为</w:t>
      </w:r>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响应文件必须根据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组织单位发售的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响应文件格式编写，对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（1）按照要求填写的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（3）供应商按要求出具的资格证明文件，证明参加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（1）各供应商应在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报价表（唱价报告）上，标明总报价、</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，有选择的报价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（3）凡因供应商对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3-3、报价货币：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人民币。单位：</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6-1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6-2 投标保证金提交形式和时间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6-4未</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，其投标保证金在</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44" w:name="_Toc5317"/>
      <w:bookmarkStart w:id="45" w:name="_Toc22280"/>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1、供应商应参照</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文件的</w:t>
      </w:r>
      <w:r>
        <w:rPr>
          <w:rFonts w:hint="eastAsia" w:ascii="仿宋_GB2312" w:hAnsi="仿宋_GB2312" w:eastAsia="仿宋_GB2312" w:cs="仿宋_GB2312"/>
          <w:color w:val="auto"/>
          <w:sz w:val="24"/>
          <w:szCs w:val="24"/>
          <w:highlight w:val="none"/>
          <w:lang w:val="en-US" w:eastAsia="zh-CN"/>
        </w:rPr>
        <w:t>格</w:t>
      </w:r>
      <w:r>
        <w:rPr>
          <w:rFonts w:hint="eastAsia" w:ascii="仿宋_GB2312" w:hAnsi="仿宋_GB2312" w:eastAsia="仿宋_GB2312" w:cs="仿宋_GB2312"/>
          <w:color w:val="auto"/>
          <w:sz w:val="24"/>
          <w:szCs w:val="24"/>
          <w:highlight w:val="none"/>
        </w:rPr>
        <w:t>式，准备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响应文件正本一份、副本</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份，并胶装订成册，每套</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响应文件的正本和所有的副本均需打印或用不褪色蓝（黑）墨水（汁）书写，统一装订、编码，在每一页的正下方清楚标明</w:t>
      </w:r>
      <w:r>
        <w:rPr>
          <w:rFonts w:hint="eastAsia" w:ascii="仿宋_GB2312" w:hAnsi="仿宋_GB2312" w:eastAsia="仿宋_GB2312" w:cs="仿宋_GB2312"/>
          <w:color w:val="auto"/>
          <w:sz w:val="24"/>
          <w:szCs w:val="24"/>
          <w:highlight w:val="none"/>
          <w:lang w:eastAsia="zh-CN"/>
        </w:rPr>
        <w:t>页码</w:t>
      </w:r>
      <w:r>
        <w:rPr>
          <w:rFonts w:hint="eastAsia" w:ascii="仿宋_GB2312" w:hAnsi="仿宋_GB2312" w:eastAsia="仿宋_GB2312" w:cs="仿宋_GB2312"/>
          <w:color w:val="auto"/>
          <w:sz w:val="24"/>
          <w:szCs w:val="24"/>
          <w:highlight w:val="none"/>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6" w:name="_Toc27624"/>
      <w:bookmarkStart w:id="47" w:name="_Toc25691"/>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1、供应商应将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1-1、加封条密封，在封线处加盖公章、法定代表人章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或其授权人代表章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1-3、如果</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响应文件未按要求密封和加写标记，造成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组织机构收到</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响应文件的时间不得迟于</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文件规定的截止时间。在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响应文件递交截止期后，供应商递交的任何</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响应文件递交截止期前，经</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组织机构同意后，供应商方可修改或撤回已送达的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响应文件。修改或撤回的内容应按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响应文件递交截止期后，供应商不得对其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响应文件递交截止期后到</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响应文件有效期满之间的这段时间内，供应商不得撤回其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,否则，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6、在评审过程中，由采购人代表和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组织机构代表共同审查供应商的资质证明文件，并通报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8" w:name="_Toc26747"/>
      <w:bookmarkStart w:id="49" w:name="_Toc4043"/>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、评审工作，整个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过程接受</w:t>
      </w:r>
      <w:r>
        <w:rPr>
          <w:rFonts w:hint="eastAsia" w:ascii="仿宋_GB2312" w:hAnsi="仿宋_GB2312" w:eastAsia="仿宋_GB2312" w:cs="仿宋_GB2312"/>
          <w:color w:val="auto"/>
          <w:sz w:val="24"/>
          <w:szCs w:val="24"/>
          <w:highlight w:val="none"/>
          <w:lang w:val="en-US" w:eastAsia="zh-CN"/>
        </w:rPr>
        <w:t>相关单位</w:t>
      </w:r>
      <w:r>
        <w:rPr>
          <w:rFonts w:hint="eastAsia" w:ascii="仿宋_GB2312" w:hAnsi="仿宋_GB2312" w:eastAsia="仿宋_GB2312" w:cs="仿宋_GB2312"/>
          <w:color w:val="auto"/>
          <w:sz w:val="24"/>
          <w:szCs w:val="24"/>
          <w:highlight w:val="none"/>
        </w:rPr>
        <w:t>的监督和管理，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组织机构在规定的时间和地点组织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，供应商须委派代表参加，参加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2、为确保</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工作公平、公正，根据《政府采购法》的有关规定成立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小组由采购人代表和</w:t>
      </w:r>
      <w:r>
        <w:rPr>
          <w:rFonts w:hint="eastAsia" w:ascii="仿宋_GB2312" w:hAnsi="仿宋_GB2312" w:eastAsia="仿宋_GB2312" w:cs="仿宋_GB2312"/>
          <w:color w:val="auto"/>
          <w:sz w:val="24"/>
          <w:szCs w:val="24"/>
          <w:highlight w:val="none"/>
          <w:lang w:val="en-US" w:eastAsia="zh-CN"/>
        </w:rPr>
        <w:t>相关专业</w:t>
      </w:r>
      <w:r>
        <w:rPr>
          <w:rFonts w:hint="eastAsia" w:ascii="仿宋_GB2312" w:hAnsi="仿宋_GB2312" w:eastAsia="仿宋_GB2312" w:cs="仿宋_GB2312"/>
          <w:color w:val="auto"/>
          <w:sz w:val="24"/>
          <w:szCs w:val="24"/>
          <w:highlight w:val="none"/>
        </w:rPr>
        <w:t>等方面的专家组成，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2-1、遵纪守法，客观、公正、廉洁地履行职责，审查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响应文件是否符合</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2-2、要求供应商对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2-5、参与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2-6、配合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（1）审查参加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（2）与各供应商就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响应文件（含澄清、说明或补正的内容）中的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报价、同类业绩、商务响应等进行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（3）依据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文件，并视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（5）协商处理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组织单位先将各供应商的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开始后，直到与成交的供应商签定合同为止，凡与审查、澄清、评价和比较各供应商的有关资料及意见等内容，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小组均不得向供应商及与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50" w:name="_Toc17901"/>
      <w:bookmarkStart w:id="51" w:name="_Toc30338"/>
      <w:r>
        <w:rPr>
          <w:rFonts w:hint="eastAsia" w:ascii="仿宋_GB2312" w:hAnsi="仿宋_GB2312" w:eastAsia="仿宋_GB2312" w:cs="仿宋_GB2312"/>
          <w:color w:val="auto"/>
          <w:sz w:val="24"/>
          <w:szCs w:val="24"/>
          <w:highlight w:val="none"/>
        </w:rPr>
        <w:t>七、</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2-1资格性审查。依据有关法律和</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的规定,对投标文件提供的资格证明文件进行审查，以确定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资格证明文件不满足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2-2符合性审查。依据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规定，从响应文件的有效性、完整性和对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的响应程度进行审查，以确定是否对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（1）未按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（2）响应文件编写不符合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要求，或没有按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（5）出现两个或两个以上报价，投标报价有缺漏项，或不符合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的全过程分为公布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报价、供应商资质审查、符合性评审、</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综合评标</w:t>
      </w:r>
      <w:r>
        <w:rPr>
          <w:rFonts w:hint="eastAsia" w:ascii="仿宋_GB2312" w:hAnsi="仿宋_GB2312" w:eastAsia="仿宋_GB2312" w:cs="仿宋_GB2312"/>
          <w:color w:val="auto"/>
          <w:sz w:val="24"/>
          <w:szCs w:val="24"/>
          <w:highlight w:val="none"/>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rPr>
        <w:t>报价：将各参加</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单位的响应文件中的报价、</w:t>
      </w:r>
      <w:r>
        <w:rPr>
          <w:rFonts w:hint="eastAsia" w:ascii="仿宋_GB2312" w:hAnsi="仿宋_GB2312" w:eastAsia="仿宋_GB2312" w:cs="仿宋_GB2312"/>
          <w:color w:val="auto"/>
          <w:sz w:val="24"/>
          <w:szCs w:val="24"/>
          <w:highlight w:val="none"/>
          <w:lang w:val="en-US" w:eastAsia="zh-CN"/>
        </w:rPr>
        <w:t>工</w:t>
      </w:r>
      <w:r>
        <w:rPr>
          <w:rFonts w:hint="eastAsia" w:ascii="仿宋_GB2312" w:hAnsi="仿宋_GB2312" w:eastAsia="仿宋_GB2312" w:cs="仿宋_GB2312"/>
          <w:color w:val="auto"/>
          <w:sz w:val="24"/>
          <w:szCs w:val="24"/>
          <w:highlight w:val="none"/>
          <w:lang w:eastAsia="zh-CN"/>
        </w:rPr>
        <w:t>期</w:t>
      </w:r>
      <w:r>
        <w:rPr>
          <w:rFonts w:hint="eastAsia" w:ascii="仿宋_GB2312" w:hAnsi="仿宋_GB2312" w:eastAsia="仿宋_GB2312" w:cs="仿宋_GB2312"/>
          <w:color w:val="auto"/>
          <w:sz w:val="24"/>
          <w:szCs w:val="24"/>
          <w:highlight w:val="none"/>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小组在初步评审的基础上对各供应商的响应文件认真阅读，并对采购内容、商务、报价等内容进行一对一的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中的内容、技术、商务、价格、服务等内容按要求进行补充、完善、澄清、承诺，但补充完善的内容必须在其范围内。</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进行二次报价，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综合评分办法</w:t>
      </w:r>
    </w:p>
    <w:p w14:paraId="10AFB7E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5、技术服务内容</w:t>
      </w:r>
    </w:p>
    <w:p w14:paraId="7D7F578A">
      <w:pPr>
        <w:pStyle w:val="4"/>
        <w:rPr>
          <w:rFonts w:hint="eastAsia" w:ascii="仿宋_GB2312" w:hAnsi="仿宋_GB2312" w:eastAsia="仿宋_GB2312" w:cs="仿宋_GB2312"/>
          <w:bCs w:val="0"/>
          <w:kern w:val="44"/>
          <w:sz w:val="24"/>
          <w:szCs w:val="24"/>
        </w:rPr>
      </w:pPr>
      <w:r>
        <w:rPr>
          <w:rFonts w:hint="eastAsia" w:ascii="仿宋_GB2312" w:hAnsi="仿宋_GB2312" w:eastAsia="仿宋_GB2312" w:cs="仿宋_GB2312"/>
          <w:bCs w:val="0"/>
          <w:kern w:val="44"/>
          <w:sz w:val="24"/>
          <w:szCs w:val="24"/>
        </w:rPr>
        <w:t>1、网络安全服务清单</w:t>
      </w:r>
    </w:p>
    <w:tbl>
      <w:tblPr>
        <w:tblStyle w:val="31"/>
        <w:tblW w:w="8303" w:type="dxa"/>
        <w:jc w:val="center"/>
        <w:tblLayout w:type="fixed"/>
        <w:tblCellMar>
          <w:top w:w="0" w:type="dxa"/>
          <w:left w:w="108" w:type="dxa"/>
          <w:bottom w:w="0" w:type="dxa"/>
          <w:right w:w="108" w:type="dxa"/>
        </w:tblCellMar>
      </w:tblPr>
      <w:tblGrid>
        <w:gridCol w:w="729"/>
        <w:gridCol w:w="1861"/>
        <w:gridCol w:w="4072"/>
        <w:gridCol w:w="922"/>
        <w:gridCol w:w="719"/>
      </w:tblGrid>
      <w:tr w14:paraId="0FAED743">
        <w:tblPrEx>
          <w:tblCellMar>
            <w:top w:w="0" w:type="dxa"/>
            <w:left w:w="108" w:type="dxa"/>
            <w:bottom w:w="0" w:type="dxa"/>
            <w:right w:w="108" w:type="dxa"/>
          </w:tblCellMar>
        </w:tblPrEx>
        <w:trPr>
          <w:trHeight w:val="579" w:hRule="atLeast"/>
          <w:jc w:val="center"/>
        </w:trPr>
        <w:tc>
          <w:tcPr>
            <w:tcW w:w="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C25A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61" w:type="dxa"/>
            <w:tcBorders>
              <w:top w:val="single" w:color="auto" w:sz="4" w:space="0"/>
              <w:left w:val="nil"/>
              <w:bottom w:val="single" w:color="auto" w:sz="4" w:space="0"/>
              <w:right w:val="single" w:color="auto" w:sz="4" w:space="0"/>
            </w:tcBorders>
            <w:shd w:val="clear" w:color="auto" w:fill="auto"/>
            <w:noWrap/>
            <w:vAlign w:val="center"/>
          </w:tcPr>
          <w:p w14:paraId="63A2B33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服务项目</w:t>
            </w:r>
          </w:p>
        </w:tc>
        <w:tc>
          <w:tcPr>
            <w:tcW w:w="4072" w:type="dxa"/>
            <w:tcBorders>
              <w:top w:val="single" w:color="auto" w:sz="4" w:space="0"/>
              <w:left w:val="nil"/>
              <w:bottom w:val="single" w:color="auto" w:sz="4" w:space="0"/>
              <w:right w:val="single" w:color="auto" w:sz="4" w:space="0"/>
            </w:tcBorders>
            <w:shd w:val="clear" w:color="auto" w:fill="auto"/>
            <w:noWrap/>
            <w:vAlign w:val="center"/>
          </w:tcPr>
          <w:p w14:paraId="221587B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tc>
        <w:tc>
          <w:tcPr>
            <w:tcW w:w="922" w:type="dxa"/>
            <w:tcBorders>
              <w:top w:val="single" w:color="auto" w:sz="4" w:space="0"/>
              <w:left w:val="nil"/>
              <w:bottom w:val="single" w:color="auto" w:sz="4" w:space="0"/>
              <w:right w:val="single" w:color="auto" w:sz="4" w:space="0"/>
            </w:tcBorders>
            <w:shd w:val="clear" w:color="auto" w:fill="auto"/>
            <w:noWrap/>
            <w:vAlign w:val="center"/>
          </w:tcPr>
          <w:p w14:paraId="2377505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服务时长</w:t>
            </w:r>
          </w:p>
        </w:tc>
        <w:tc>
          <w:tcPr>
            <w:tcW w:w="719" w:type="dxa"/>
            <w:tcBorders>
              <w:top w:val="single" w:color="auto" w:sz="4" w:space="0"/>
              <w:left w:val="nil"/>
              <w:bottom w:val="single" w:color="auto" w:sz="4" w:space="0"/>
              <w:right w:val="single" w:color="auto" w:sz="4" w:space="0"/>
            </w:tcBorders>
            <w:shd w:val="clear" w:color="auto" w:fill="auto"/>
            <w:noWrap/>
            <w:vAlign w:val="center"/>
          </w:tcPr>
          <w:p w14:paraId="71ABB37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11D9A02F">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7B8E401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61" w:type="dxa"/>
            <w:tcBorders>
              <w:top w:val="nil"/>
              <w:left w:val="nil"/>
              <w:bottom w:val="single" w:color="auto" w:sz="4" w:space="0"/>
              <w:right w:val="single" w:color="auto" w:sz="4" w:space="0"/>
            </w:tcBorders>
            <w:shd w:val="clear" w:color="auto" w:fill="auto"/>
            <w:vAlign w:val="center"/>
          </w:tcPr>
          <w:p w14:paraId="696CC31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开展安全通告</w:t>
            </w:r>
          </w:p>
        </w:tc>
        <w:tc>
          <w:tcPr>
            <w:tcW w:w="4072" w:type="dxa"/>
            <w:tcBorders>
              <w:top w:val="nil"/>
              <w:left w:val="nil"/>
              <w:bottom w:val="single" w:color="auto" w:sz="4" w:space="0"/>
              <w:right w:val="single" w:color="auto" w:sz="4" w:space="0"/>
            </w:tcBorders>
            <w:shd w:val="clear" w:color="auto" w:fill="auto"/>
          </w:tcPr>
          <w:p w14:paraId="52D579E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实时关注安全动态，为客户精心提供安全通告服务。该通告包括安全漏洞(补丁)通告、安全威胁通告、安全业界动态、恶意代码防范、紧急通告等多项内容。提供安全通告报告。</w:t>
            </w:r>
          </w:p>
        </w:tc>
        <w:tc>
          <w:tcPr>
            <w:tcW w:w="922" w:type="dxa"/>
            <w:tcBorders>
              <w:top w:val="nil"/>
              <w:left w:val="nil"/>
              <w:bottom w:val="single" w:color="auto" w:sz="4" w:space="0"/>
              <w:right w:val="single" w:color="auto" w:sz="4" w:space="0"/>
            </w:tcBorders>
            <w:shd w:val="clear" w:color="auto" w:fill="auto"/>
            <w:noWrap/>
            <w:vAlign w:val="center"/>
          </w:tcPr>
          <w:p w14:paraId="13188A4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75E323DB">
            <w:pPr>
              <w:rPr>
                <w:rFonts w:hint="eastAsia" w:ascii="仿宋_GB2312" w:hAnsi="仿宋_GB2312" w:eastAsia="仿宋_GB2312" w:cs="仿宋_GB2312"/>
                <w:sz w:val="24"/>
                <w:szCs w:val="24"/>
              </w:rPr>
            </w:pPr>
          </w:p>
        </w:tc>
      </w:tr>
      <w:tr w14:paraId="2181CC8B">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49C18E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61" w:type="dxa"/>
            <w:tcBorders>
              <w:top w:val="nil"/>
              <w:left w:val="nil"/>
              <w:bottom w:val="single" w:color="auto" w:sz="4" w:space="0"/>
              <w:right w:val="single" w:color="auto" w:sz="4" w:space="0"/>
            </w:tcBorders>
            <w:shd w:val="clear" w:color="auto" w:fill="auto"/>
            <w:vAlign w:val="center"/>
          </w:tcPr>
          <w:p w14:paraId="493C8FD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开展安全巡检服务</w:t>
            </w:r>
          </w:p>
        </w:tc>
        <w:tc>
          <w:tcPr>
            <w:tcW w:w="4072" w:type="dxa"/>
            <w:tcBorders>
              <w:top w:val="nil"/>
              <w:left w:val="nil"/>
              <w:bottom w:val="single" w:color="auto" w:sz="4" w:space="0"/>
              <w:right w:val="single" w:color="auto" w:sz="4" w:space="0"/>
            </w:tcBorders>
            <w:shd w:val="clear" w:color="auto" w:fill="auto"/>
          </w:tcPr>
          <w:p w14:paraId="36BBEF7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检查内容包括端口状况扫描、端口监听检查、用户列表检查、进程检查、病毒检查、系统木马检查等安全检查与分析工作并在巡检后出具巡检报告和安全整改措施。提供安全巡检报告。</w:t>
            </w:r>
          </w:p>
        </w:tc>
        <w:tc>
          <w:tcPr>
            <w:tcW w:w="922" w:type="dxa"/>
            <w:tcBorders>
              <w:top w:val="nil"/>
              <w:left w:val="nil"/>
              <w:bottom w:val="single" w:color="auto" w:sz="4" w:space="0"/>
              <w:right w:val="single" w:color="auto" w:sz="4" w:space="0"/>
            </w:tcBorders>
            <w:shd w:val="clear" w:color="auto" w:fill="auto"/>
            <w:noWrap/>
            <w:vAlign w:val="center"/>
          </w:tcPr>
          <w:p w14:paraId="7143067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455F56E7">
            <w:pPr>
              <w:rPr>
                <w:rFonts w:hint="eastAsia" w:ascii="仿宋_GB2312" w:hAnsi="仿宋_GB2312" w:eastAsia="仿宋_GB2312" w:cs="仿宋_GB2312"/>
                <w:sz w:val="24"/>
                <w:szCs w:val="24"/>
              </w:rPr>
            </w:pPr>
          </w:p>
        </w:tc>
      </w:tr>
      <w:tr w14:paraId="1797699A">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69C6DBF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61" w:type="dxa"/>
            <w:tcBorders>
              <w:top w:val="nil"/>
              <w:left w:val="nil"/>
              <w:bottom w:val="single" w:color="auto" w:sz="4" w:space="0"/>
              <w:right w:val="single" w:color="auto" w:sz="4" w:space="0"/>
            </w:tcBorders>
            <w:shd w:val="clear" w:color="auto" w:fill="auto"/>
            <w:vAlign w:val="center"/>
          </w:tcPr>
          <w:p w14:paraId="2F382BD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开展安全漏洞评估</w:t>
            </w:r>
          </w:p>
        </w:tc>
        <w:tc>
          <w:tcPr>
            <w:tcW w:w="4072" w:type="dxa"/>
            <w:tcBorders>
              <w:top w:val="nil"/>
              <w:left w:val="nil"/>
              <w:bottom w:val="single" w:color="auto" w:sz="4" w:space="0"/>
              <w:right w:val="single" w:color="auto" w:sz="4" w:space="0"/>
            </w:tcBorders>
            <w:shd w:val="clear" w:color="auto" w:fill="auto"/>
          </w:tcPr>
          <w:p w14:paraId="5B87051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使用远程漏洞评估产品，检测网络设备、操作系统、数据库和应用服务中存在的安全漏洞，提供漏洞评估报告和修复建议。</w:t>
            </w:r>
          </w:p>
        </w:tc>
        <w:tc>
          <w:tcPr>
            <w:tcW w:w="922" w:type="dxa"/>
            <w:tcBorders>
              <w:top w:val="nil"/>
              <w:left w:val="nil"/>
              <w:bottom w:val="single" w:color="auto" w:sz="4" w:space="0"/>
              <w:right w:val="single" w:color="auto" w:sz="4" w:space="0"/>
            </w:tcBorders>
            <w:shd w:val="clear" w:color="auto" w:fill="auto"/>
            <w:noWrap/>
            <w:vAlign w:val="center"/>
          </w:tcPr>
          <w:p w14:paraId="464CA75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6BFDBCFC">
            <w:pPr>
              <w:rPr>
                <w:rFonts w:hint="eastAsia" w:ascii="仿宋_GB2312" w:hAnsi="仿宋_GB2312" w:eastAsia="仿宋_GB2312" w:cs="仿宋_GB2312"/>
                <w:sz w:val="24"/>
                <w:szCs w:val="24"/>
              </w:rPr>
            </w:pPr>
          </w:p>
        </w:tc>
      </w:tr>
      <w:tr w14:paraId="4B193E1B">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1E80277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61" w:type="dxa"/>
            <w:tcBorders>
              <w:top w:val="nil"/>
              <w:left w:val="nil"/>
              <w:bottom w:val="single" w:color="auto" w:sz="4" w:space="0"/>
              <w:right w:val="single" w:color="auto" w:sz="4" w:space="0"/>
            </w:tcBorders>
            <w:shd w:val="clear" w:color="auto" w:fill="auto"/>
            <w:vAlign w:val="center"/>
          </w:tcPr>
          <w:p w14:paraId="6E01D32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开展安全配置评估</w:t>
            </w:r>
          </w:p>
        </w:tc>
        <w:tc>
          <w:tcPr>
            <w:tcW w:w="4072" w:type="dxa"/>
            <w:tcBorders>
              <w:top w:val="nil"/>
              <w:left w:val="nil"/>
              <w:bottom w:val="single" w:color="auto" w:sz="4" w:space="0"/>
              <w:right w:val="single" w:color="auto" w:sz="4" w:space="0"/>
            </w:tcBorders>
            <w:shd w:val="clear" w:color="auto" w:fill="auto"/>
          </w:tcPr>
          <w:p w14:paraId="118F92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使用安全配置核查产品或人工方式，对系统网络设备、操作系统、数据库和应用服务器的配置进行安全检查，提供安全配置评估报告和改进建议。</w:t>
            </w:r>
          </w:p>
        </w:tc>
        <w:tc>
          <w:tcPr>
            <w:tcW w:w="922" w:type="dxa"/>
            <w:tcBorders>
              <w:top w:val="nil"/>
              <w:left w:val="nil"/>
              <w:bottom w:val="single" w:color="auto" w:sz="4" w:space="0"/>
              <w:right w:val="single" w:color="auto" w:sz="4" w:space="0"/>
            </w:tcBorders>
            <w:shd w:val="clear" w:color="auto" w:fill="auto"/>
            <w:noWrap/>
            <w:vAlign w:val="center"/>
          </w:tcPr>
          <w:p w14:paraId="77BD483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09B47B70">
            <w:pPr>
              <w:rPr>
                <w:rFonts w:hint="eastAsia" w:ascii="仿宋_GB2312" w:hAnsi="仿宋_GB2312" w:eastAsia="仿宋_GB2312" w:cs="仿宋_GB2312"/>
                <w:sz w:val="24"/>
                <w:szCs w:val="24"/>
              </w:rPr>
            </w:pPr>
          </w:p>
        </w:tc>
      </w:tr>
      <w:tr w14:paraId="2EE06F74">
        <w:tblPrEx>
          <w:tblCellMar>
            <w:top w:w="0" w:type="dxa"/>
            <w:left w:w="108" w:type="dxa"/>
            <w:bottom w:w="0" w:type="dxa"/>
            <w:right w:w="108" w:type="dxa"/>
          </w:tblCellMar>
        </w:tblPrEx>
        <w:trPr>
          <w:trHeight w:val="1324"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4A5BD71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861" w:type="dxa"/>
            <w:tcBorders>
              <w:top w:val="nil"/>
              <w:left w:val="nil"/>
              <w:bottom w:val="single" w:color="auto" w:sz="4" w:space="0"/>
              <w:right w:val="single" w:color="auto" w:sz="4" w:space="0"/>
            </w:tcBorders>
            <w:shd w:val="clear" w:color="auto" w:fill="auto"/>
            <w:vAlign w:val="center"/>
          </w:tcPr>
          <w:p w14:paraId="17EFC18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开展恶意样本分析</w:t>
            </w:r>
          </w:p>
        </w:tc>
        <w:tc>
          <w:tcPr>
            <w:tcW w:w="4072" w:type="dxa"/>
            <w:tcBorders>
              <w:top w:val="nil"/>
              <w:left w:val="nil"/>
              <w:bottom w:val="single" w:color="auto" w:sz="4" w:space="0"/>
              <w:right w:val="single" w:color="auto" w:sz="4" w:space="0"/>
            </w:tcBorders>
            <w:shd w:val="clear" w:color="auto" w:fill="auto"/>
          </w:tcPr>
          <w:p w14:paraId="1D6B92C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人工方式检测操作系统和应用中是否存在恶意样本，分析样本的访问行为，评估对系统的影响，提供安全分析报告和清除方法。</w:t>
            </w:r>
          </w:p>
        </w:tc>
        <w:tc>
          <w:tcPr>
            <w:tcW w:w="922" w:type="dxa"/>
            <w:tcBorders>
              <w:top w:val="nil"/>
              <w:left w:val="nil"/>
              <w:bottom w:val="single" w:color="auto" w:sz="4" w:space="0"/>
              <w:right w:val="single" w:color="auto" w:sz="4" w:space="0"/>
            </w:tcBorders>
            <w:shd w:val="clear" w:color="auto" w:fill="auto"/>
            <w:noWrap/>
            <w:vAlign w:val="center"/>
          </w:tcPr>
          <w:p w14:paraId="0AA96171">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782B7F68">
            <w:pPr>
              <w:rPr>
                <w:rFonts w:hint="eastAsia" w:ascii="仿宋_GB2312" w:hAnsi="仿宋_GB2312" w:eastAsia="仿宋_GB2312" w:cs="仿宋_GB2312"/>
                <w:sz w:val="24"/>
                <w:szCs w:val="24"/>
              </w:rPr>
            </w:pPr>
          </w:p>
        </w:tc>
      </w:tr>
      <w:tr w14:paraId="51D8E54B">
        <w:tblPrEx>
          <w:tblCellMar>
            <w:top w:w="0" w:type="dxa"/>
            <w:left w:w="108" w:type="dxa"/>
            <w:bottom w:w="0" w:type="dxa"/>
            <w:right w:w="108" w:type="dxa"/>
          </w:tblCellMar>
        </w:tblPrEx>
        <w:trPr>
          <w:trHeight w:val="1293"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58673D9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861" w:type="dxa"/>
            <w:tcBorders>
              <w:top w:val="nil"/>
              <w:left w:val="nil"/>
              <w:bottom w:val="single" w:color="auto" w:sz="4" w:space="0"/>
              <w:right w:val="single" w:color="auto" w:sz="4" w:space="0"/>
            </w:tcBorders>
            <w:shd w:val="clear" w:color="auto" w:fill="auto"/>
            <w:vAlign w:val="center"/>
          </w:tcPr>
          <w:p w14:paraId="2965300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开展日志安全分析</w:t>
            </w:r>
          </w:p>
        </w:tc>
        <w:tc>
          <w:tcPr>
            <w:tcW w:w="4072" w:type="dxa"/>
            <w:tcBorders>
              <w:top w:val="nil"/>
              <w:left w:val="nil"/>
              <w:bottom w:val="single" w:color="auto" w:sz="4" w:space="0"/>
              <w:right w:val="single" w:color="auto" w:sz="4" w:space="0"/>
            </w:tcBorders>
            <w:shd w:val="clear" w:color="auto" w:fill="auto"/>
          </w:tcPr>
          <w:p w14:paraId="53357B9D">
            <w:pP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对服务器、安全设备、网络设备等产生的日志进行数据分析，及时发现攻击事件和可疑行为，提供日志分析报告。</w:t>
            </w:r>
          </w:p>
        </w:tc>
        <w:tc>
          <w:tcPr>
            <w:tcW w:w="922" w:type="dxa"/>
            <w:tcBorders>
              <w:top w:val="nil"/>
              <w:left w:val="nil"/>
              <w:bottom w:val="single" w:color="auto" w:sz="4" w:space="0"/>
              <w:right w:val="single" w:color="auto" w:sz="4" w:space="0"/>
            </w:tcBorders>
            <w:shd w:val="clear" w:color="auto" w:fill="auto"/>
            <w:noWrap/>
            <w:vAlign w:val="center"/>
          </w:tcPr>
          <w:p w14:paraId="1DD9F410">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439E46C0">
            <w:pPr>
              <w:rPr>
                <w:rFonts w:hint="eastAsia" w:ascii="仿宋_GB2312" w:hAnsi="仿宋_GB2312" w:eastAsia="仿宋_GB2312" w:cs="仿宋_GB2312"/>
                <w:sz w:val="24"/>
                <w:szCs w:val="24"/>
              </w:rPr>
            </w:pPr>
          </w:p>
        </w:tc>
      </w:tr>
      <w:tr w14:paraId="19D4F2A6">
        <w:tblPrEx>
          <w:tblCellMar>
            <w:top w:w="0" w:type="dxa"/>
            <w:left w:w="108" w:type="dxa"/>
            <w:bottom w:w="0" w:type="dxa"/>
            <w:right w:w="108" w:type="dxa"/>
          </w:tblCellMar>
        </w:tblPrEx>
        <w:trPr>
          <w:trHeight w:val="1984"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18B4907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861" w:type="dxa"/>
            <w:tcBorders>
              <w:top w:val="nil"/>
              <w:left w:val="nil"/>
              <w:bottom w:val="single" w:color="auto" w:sz="4" w:space="0"/>
              <w:right w:val="single" w:color="auto" w:sz="4" w:space="0"/>
            </w:tcBorders>
            <w:shd w:val="clear" w:color="auto" w:fill="auto"/>
            <w:vAlign w:val="center"/>
          </w:tcPr>
          <w:p w14:paraId="0655D0F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网络安全培训及演练</w:t>
            </w:r>
          </w:p>
        </w:tc>
        <w:tc>
          <w:tcPr>
            <w:tcW w:w="4072" w:type="dxa"/>
            <w:tcBorders>
              <w:top w:val="nil"/>
              <w:left w:val="nil"/>
              <w:bottom w:val="single" w:color="auto" w:sz="4" w:space="0"/>
              <w:right w:val="single" w:color="auto" w:sz="4" w:space="0"/>
            </w:tcBorders>
            <w:shd w:val="clear" w:color="auto" w:fill="auto"/>
          </w:tcPr>
          <w:p w14:paraId="18CA0AA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实际环境，提供专项信息安全应急预案，准备演练场景，每年开展一次信息安全演练，以实战演练的方式对应急预案和应急流程进行检验，并在演练后对应急预案和应急响应流程进行不断完善，以提高应急处理能力。</w:t>
            </w:r>
          </w:p>
          <w:p w14:paraId="2EF86FB1">
            <w:pP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培训及演练完成后将相关资料移交采购人。</w:t>
            </w:r>
          </w:p>
        </w:tc>
        <w:tc>
          <w:tcPr>
            <w:tcW w:w="922" w:type="dxa"/>
            <w:tcBorders>
              <w:top w:val="nil"/>
              <w:left w:val="nil"/>
              <w:bottom w:val="single" w:color="auto" w:sz="4" w:space="0"/>
              <w:right w:val="single" w:color="auto" w:sz="4" w:space="0"/>
            </w:tcBorders>
            <w:shd w:val="clear" w:color="auto" w:fill="auto"/>
            <w:noWrap/>
            <w:vAlign w:val="center"/>
          </w:tcPr>
          <w:p w14:paraId="5C2CCEA9">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每年一次</w:t>
            </w:r>
          </w:p>
        </w:tc>
        <w:tc>
          <w:tcPr>
            <w:tcW w:w="719" w:type="dxa"/>
            <w:tcBorders>
              <w:top w:val="nil"/>
              <w:left w:val="nil"/>
              <w:bottom w:val="single" w:color="auto" w:sz="4" w:space="0"/>
              <w:right w:val="single" w:color="auto" w:sz="4" w:space="0"/>
            </w:tcBorders>
            <w:shd w:val="clear" w:color="auto" w:fill="auto"/>
            <w:noWrap/>
            <w:vAlign w:val="center"/>
          </w:tcPr>
          <w:p w14:paraId="676132CD">
            <w:pPr>
              <w:rPr>
                <w:rFonts w:hint="eastAsia" w:ascii="仿宋_GB2312" w:hAnsi="仿宋_GB2312" w:eastAsia="仿宋_GB2312" w:cs="仿宋_GB2312"/>
                <w:sz w:val="24"/>
                <w:szCs w:val="24"/>
              </w:rPr>
            </w:pPr>
          </w:p>
        </w:tc>
      </w:tr>
      <w:tr w14:paraId="263FC243">
        <w:tblPrEx>
          <w:tblCellMar>
            <w:top w:w="0" w:type="dxa"/>
            <w:left w:w="108" w:type="dxa"/>
            <w:bottom w:w="0" w:type="dxa"/>
            <w:right w:w="108" w:type="dxa"/>
          </w:tblCellMar>
        </w:tblPrEx>
        <w:trPr>
          <w:trHeight w:val="1361"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0E53031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861" w:type="dxa"/>
            <w:tcBorders>
              <w:top w:val="nil"/>
              <w:left w:val="nil"/>
              <w:bottom w:val="single" w:color="auto" w:sz="4" w:space="0"/>
              <w:right w:val="single" w:color="auto" w:sz="4" w:space="0"/>
            </w:tcBorders>
            <w:shd w:val="clear" w:color="auto" w:fill="auto"/>
            <w:vAlign w:val="center"/>
          </w:tcPr>
          <w:p w14:paraId="21A9997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紧急响应</w:t>
            </w:r>
          </w:p>
        </w:tc>
        <w:tc>
          <w:tcPr>
            <w:tcW w:w="4072" w:type="dxa"/>
            <w:tcBorders>
              <w:top w:val="nil"/>
              <w:left w:val="nil"/>
              <w:bottom w:val="single" w:color="auto" w:sz="4" w:space="0"/>
              <w:right w:val="single" w:color="auto" w:sz="4" w:space="0"/>
            </w:tcBorders>
            <w:shd w:val="clear" w:color="auto" w:fill="auto"/>
            <w:vAlign w:val="center"/>
          </w:tcPr>
          <w:p w14:paraId="027222FC">
            <w:pP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出现突发网络安全事件时，根据发生问题等级，及时派遣安全人员到达现场分析并处理问题，发生安全事件至人员到达现场需30分钟内到达，如出现重点事件由响应人上报相关管理部门，并对发生事件进行溯源并出具处置报告。</w:t>
            </w:r>
          </w:p>
        </w:tc>
        <w:tc>
          <w:tcPr>
            <w:tcW w:w="922" w:type="dxa"/>
            <w:tcBorders>
              <w:top w:val="nil"/>
              <w:left w:val="nil"/>
              <w:bottom w:val="single" w:color="auto" w:sz="4" w:space="0"/>
              <w:right w:val="single" w:color="auto" w:sz="4" w:space="0"/>
            </w:tcBorders>
            <w:shd w:val="clear" w:color="auto" w:fill="auto"/>
            <w:noWrap/>
            <w:vAlign w:val="center"/>
          </w:tcPr>
          <w:p w14:paraId="6FB4D77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07BAD9BC">
            <w:pPr>
              <w:rPr>
                <w:rFonts w:hint="eastAsia" w:ascii="仿宋_GB2312" w:hAnsi="仿宋_GB2312" w:eastAsia="仿宋_GB2312" w:cs="仿宋_GB2312"/>
                <w:sz w:val="24"/>
                <w:szCs w:val="24"/>
              </w:rPr>
            </w:pPr>
          </w:p>
        </w:tc>
      </w:tr>
      <w:tr w14:paraId="03888632">
        <w:tblPrEx>
          <w:tblCellMar>
            <w:top w:w="0" w:type="dxa"/>
            <w:left w:w="108" w:type="dxa"/>
            <w:bottom w:w="0" w:type="dxa"/>
            <w:right w:w="108" w:type="dxa"/>
          </w:tblCellMar>
        </w:tblPrEx>
        <w:trPr>
          <w:trHeight w:val="2152"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1CC2A5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861" w:type="dxa"/>
            <w:tcBorders>
              <w:top w:val="nil"/>
              <w:left w:val="nil"/>
              <w:bottom w:val="single" w:color="auto" w:sz="4" w:space="0"/>
              <w:right w:val="single" w:color="auto" w:sz="4" w:space="0"/>
            </w:tcBorders>
            <w:shd w:val="clear" w:color="auto" w:fill="auto"/>
            <w:vAlign w:val="center"/>
          </w:tcPr>
          <w:p w14:paraId="0676FA4A">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7*24小时技术支撑</w:t>
            </w:r>
          </w:p>
        </w:tc>
        <w:tc>
          <w:tcPr>
            <w:tcW w:w="4072" w:type="dxa"/>
            <w:tcBorders>
              <w:top w:val="nil"/>
              <w:left w:val="nil"/>
              <w:bottom w:val="single" w:color="auto" w:sz="4" w:space="0"/>
              <w:right w:val="single" w:color="auto" w:sz="4" w:space="0"/>
            </w:tcBorders>
            <w:shd w:val="clear" w:color="auto" w:fill="auto"/>
          </w:tcPr>
          <w:p w14:paraId="51FA528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在服务期内以7*24小时对采购人进行远程或现场方式的各种信息安全事件做出及时响应和处理，协助客户降低影响，分析问题产生的原因，提供应急响应报告和改进建议。</w:t>
            </w:r>
          </w:p>
          <w:p w14:paraId="104D38E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发生安全事件时，派遣安全人员30分钟内到达现场。</w:t>
            </w:r>
          </w:p>
        </w:tc>
        <w:tc>
          <w:tcPr>
            <w:tcW w:w="922" w:type="dxa"/>
            <w:tcBorders>
              <w:top w:val="nil"/>
              <w:left w:val="nil"/>
              <w:bottom w:val="single" w:color="auto" w:sz="4" w:space="0"/>
              <w:right w:val="single" w:color="auto" w:sz="4" w:space="0"/>
            </w:tcBorders>
            <w:shd w:val="clear" w:color="auto" w:fill="auto"/>
            <w:noWrap/>
            <w:vAlign w:val="center"/>
          </w:tcPr>
          <w:p w14:paraId="5722D0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791DC32F">
            <w:pPr>
              <w:rPr>
                <w:rFonts w:hint="eastAsia" w:ascii="仿宋_GB2312" w:hAnsi="仿宋_GB2312" w:eastAsia="仿宋_GB2312" w:cs="仿宋_GB2312"/>
                <w:sz w:val="24"/>
                <w:szCs w:val="24"/>
              </w:rPr>
            </w:pPr>
          </w:p>
        </w:tc>
      </w:tr>
      <w:tr w14:paraId="7666CF67">
        <w:tblPrEx>
          <w:tblCellMar>
            <w:top w:w="0" w:type="dxa"/>
            <w:left w:w="108" w:type="dxa"/>
            <w:bottom w:w="0" w:type="dxa"/>
            <w:right w:w="108" w:type="dxa"/>
          </w:tblCellMar>
        </w:tblPrEx>
        <w:trPr>
          <w:trHeight w:val="983"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135D908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861" w:type="dxa"/>
            <w:tcBorders>
              <w:top w:val="nil"/>
              <w:left w:val="nil"/>
              <w:bottom w:val="single" w:color="auto" w:sz="4" w:space="0"/>
              <w:right w:val="single" w:color="auto" w:sz="4" w:space="0"/>
            </w:tcBorders>
            <w:shd w:val="clear" w:color="auto" w:fill="auto"/>
            <w:vAlign w:val="center"/>
          </w:tcPr>
          <w:p w14:paraId="6DC6563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开展网络架构优化</w:t>
            </w:r>
          </w:p>
        </w:tc>
        <w:tc>
          <w:tcPr>
            <w:tcW w:w="4072" w:type="dxa"/>
            <w:tcBorders>
              <w:top w:val="nil"/>
              <w:left w:val="nil"/>
              <w:bottom w:val="single" w:color="auto" w:sz="4" w:space="0"/>
              <w:right w:val="single" w:color="auto" w:sz="4" w:space="0"/>
            </w:tcBorders>
            <w:shd w:val="clear" w:color="auto" w:fill="auto"/>
          </w:tcPr>
          <w:p w14:paraId="49B0FC6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目标网络的网络现状、网络建设规范性、网络可靠性、网络边界安全、网络流量分析、网络通信安全、网络设备安全和网络安全管理这八个方面进行网络架构安全性的全面分析，对整体网络中的脆弱点进行识别，评估结果包括定性和定量分析，让用户对网络中存在的风险了如指掌，根据存在问题给出网络优化建议并协助采购人完成网络优化。针对安全漏洞和安全配置评估中发现的安全漏洞和配置缺陷，提供加固意见和方案，配合客户完成配置修复。</w:t>
            </w:r>
            <w:r>
              <w:rPr>
                <w:rFonts w:hint="eastAsia" w:ascii="仿宋_GB2312" w:hAnsi="仿宋_GB2312" w:eastAsia="仿宋_GB2312" w:cs="仿宋_GB2312"/>
                <w:color w:val="000000" w:themeColor="text1"/>
                <w:sz w:val="24"/>
                <w:szCs w:val="24"/>
                <w14:textFill>
                  <w14:solidFill>
                    <w14:schemeClr w14:val="tx1"/>
                  </w14:solidFill>
                </w14:textFill>
              </w:rPr>
              <w:t>每季度将优化记录整理后交于采购人。</w:t>
            </w:r>
          </w:p>
        </w:tc>
        <w:tc>
          <w:tcPr>
            <w:tcW w:w="922" w:type="dxa"/>
            <w:tcBorders>
              <w:top w:val="nil"/>
              <w:left w:val="nil"/>
              <w:bottom w:val="single" w:color="auto" w:sz="4" w:space="0"/>
              <w:right w:val="single" w:color="auto" w:sz="4" w:space="0"/>
            </w:tcBorders>
            <w:shd w:val="clear" w:color="auto" w:fill="auto"/>
            <w:noWrap/>
            <w:vAlign w:val="center"/>
          </w:tcPr>
          <w:p w14:paraId="01EE1538">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204CB387">
            <w:pPr>
              <w:rPr>
                <w:rFonts w:hint="eastAsia" w:ascii="仿宋_GB2312" w:hAnsi="仿宋_GB2312" w:eastAsia="仿宋_GB2312" w:cs="仿宋_GB2312"/>
                <w:sz w:val="24"/>
                <w:szCs w:val="24"/>
              </w:rPr>
            </w:pPr>
          </w:p>
        </w:tc>
      </w:tr>
      <w:tr w14:paraId="3E9C95E7">
        <w:tblPrEx>
          <w:tblCellMar>
            <w:top w:w="0" w:type="dxa"/>
            <w:left w:w="108" w:type="dxa"/>
            <w:bottom w:w="0" w:type="dxa"/>
            <w:right w:w="108" w:type="dxa"/>
          </w:tblCellMar>
        </w:tblPrEx>
        <w:trPr>
          <w:trHeight w:val="1425"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6113D7D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861" w:type="dxa"/>
            <w:tcBorders>
              <w:top w:val="nil"/>
              <w:left w:val="nil"/>
              <w:bottom w:val="single" w:color="auto" w:sz="4" w:space="0"/>
              <w:right w:val="single" w:color="auto" w:sz="4" w:space="0"/>
            </w:tcBorders>
            <w:shd w:val="clear" w:color="auto" w:fill="auto"/>
            <w:vAlign w:val="center"/>
          </w:tcPr>
          <w:p w14:paraId="120606F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开展渗透测试</w:t>
            </w:r>
          </w:p>
        </w:tc>
        <w:tc>
          <w:tcPr>
            <w:tcW w:w="4072" w:type="dxa"/>
            <w:tcBorders>
              <w:top w:val="nil"/>
              <w:left w:val="nil"/>
              <w:bottom w:val="single" w:color="auto" w:sz="4" w:space="0"/>
              <w:right w:val="single" w:color="auto" w:sz="4" w:space="0"/>
            </w:tcBorders>
            <w:shd w:val="clear" w:color="auto" w:fill="auto"/>
          </w:tcPr>
          <w:p w14:paraId="2298A0E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人工黑盒的测试方式，发现网络和业务系统中网络和系统存在的安全缺陷，提供渗透测试报告和改进建议并协助采购人进行整改，整改后进行复测（项目持续期间，持续对每个系统进行测试-整改-测试循环，直到系统整改完成）。</w:t>
            </w:r>
          </w:p>
        </w:tc>
        <w:tc>
          <w:tcPr>
            <w:tcW w:w="922" w:type="dxa"/>
            <w:tcBorders>
              <w:top w:val="nil"/>
              <w:left w:val="nil"/>
              <w:bottom w:val="single" w:color="auto" w:sz="4" w:space="0"/>
              <w:right w:val="single" w:color="auto" w:sz="4" w:space="0"/>
            </w:tcBorders>
            <w:shd w:val="clear" w:color="auto" w:fill="auto"/>
            <w:noWrap/>
            <w:vAlign w:val="center"/>
          </w:tcPr>
          <w:p w14:paraId="2C7BB070">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1BDFD2DF">
            <w:pPr>
              <w:rPr>
                <w:rFonts w:hint="eastAsia" w:ascii="仿宋_GB2312" w:hAnsi="仿宋_GB2312" w:eastAsia="仿宋_GB2312" w:cs="仿宋_GB2312"/>
                <w:sz w:val="24"/>
                <w:szCs w:val="24"/>
              </w:rPr>
            </w:pPr>
          </w:p>
        </w:tc>
      </w:tr>
      <w:tr w14:paraId="1E35D620">
        <w:tblPrEx>
          <w:tblCellMar>
            <w:top w:w="0" w:type="dxa"/>
            <w:left w:w="108" w:type="dxa"/>
            <w:bottom w:w="0" w:type="dxa"/>
            <w:right w:w="108" w:type="dxa"/>
          </w:tblCellMar>
        </w:tblPrEx>
        <w:trPr>
          <w:trHeight w:val="1318"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45F8A8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861" w:type="dxa"/>
            <w:tcBorders>
              <w:top w:val="nil"/>
              <w:left w:val="nil"/>
              <w:bottom w:val="single" w:color="auto" w:sz="4" w:space="0"/>
              <w:right w:val="single" w:color="auto" w:sz="4" w:space="0"/>
            </w:tcBorders>
            <w:shd w:val="clear" w:color="auto" w:fill="auto"/>
            <w:vAlign w:val="center"/>
          </w:tcPr>
          <w:p w14:paraId="780DDE3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开展移动APP安全测试</w:t>
            </w:r>
          </w:p>
        </w:tc>
        <w:tc>
          <w:tcPr>
            <w:tcW w:w="4072" w:type="dxa"/>
            <w:tcBorders>
              <w:top w:val="nil"/>
              <w:left w:val="nil"/>
              <w:bottom w:val="single" w:color="auto" w:sz="4" w:space="0"/>
              <w:right w:val="single" w:color="auto" w:sz="4" w:space="0"/>
            </w:tcBorders>
            <w:shd w:val="clear" w:color="auto" w:fill="auto"/>
          </w:tcPr>
          <w:p w14:paraId="731EC67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对移动APP程序进行安全测试，发现可能存在的安全缺陷，提供安全测试报告和改进建议并协助采购人进行整改。</w:t>
            </w:r>
          </w:p>
        </w:tc>
        <w:tc>
          <w:tcPr>
            <w:tcW w:w="922" w:type="dxa"/>
            <w:tcBorders>
              <w:top w:val="nil"/>
              <w:left w:val="nil"/>
              <w:bottom w:val="single" w:color="auto" w:sz="4" w:space="0"/>
              <w:right w:val="single" w:color="auto" w:sz="4" w:space="0"/>
            </w:tcBorders>
            <w:shd w:val="clear" w:color="auto" w:fill="auto"/>
            <w:noWrap/>
            <w:vAlign w:val="center"/>
          </w:tcPr>
          <w:p w14:paraId="7F98BB95">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22054FD2">
            <w:pPr>
              <w:rPr>
                <w:rFonts w:hint="eastAsia" w:ascii="仿宋_GB2312" w:hAnsi="仿宋_GB2312" w:eastAsia="仿宋_GB2312" w:cs="仿宋_GB2312"/>
                <w:sz w:val="24"/>
                <w:szCs w:val="24"/>
              </w:rPr>
            </w:pPr>
          </w:p>
        </w:tc>
      </w:tr>
      <w:tr w14:paraId="06A8E7AF">
        <w:tblPrEx>
          <w:tblCellMar>
            <w:top w:w="0" w:type="dxa"/>
            <w:left w:w="108" w:type="dxa"/>
            <w:bottom w:w="0" w:type="dxa"/>
            <w:right w:w="108" w:type="dxa"/>
          </w:tblCellMar>
        </w:tblPrEx>
        <w:trPr>
          <w:trHeight w:val="1041"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64159E0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861" w:type="dxa"/>
            <w:tcBorders>
              <w:top w:val="nil"/>
              <w:left w:val="nil"/>
              <w:bottom w:val="single" w:color="auto" w:sz="4" w:space="0"/>
              <w:right w:val="single" w:color="auto" w:sz="4" w:space="0"/>
            </w:tcBorders>
            <w:shd w:val="clear" w:color="auto" w:fill="auto"/>
            <w:vAlign w:val="center"/>
          </w:tcPr>
          <w:p w14:paraId="26A9A28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开展互联网开放端口检查</w:t>
            </w:r>
          </w:p>
        </w:tc>
        <w:tc>
          <w:tcPr>
            <w:tcW w:w="4072" w:type="dxa"/>
            <w:tcBorders>
              <w:top w:val="nil"/>
              <w:left w:val="nil"/>
              <w:bottom w:val="single" w:color="auto" w:sz="4" w:space="0"/>
              <w:right w:val="single" w:color="auto" w:sz="4" w:space="0"/>
            </w:tcBorders>
            <w:shd w:val="clear" w:color="auto" w:fill="auto"/>
          </w:tcPr>
          <w:p w14:paraId="74D665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通过扫描方式对互联网上客户开放的端口、服务进行检查，识别客户对外提供服务的真实情况，提供互联网端口检查报告并配合采购人确认端口开放情况。</w:t>
            </w:r>
          </w:p>
        </w:tc>
        <w:tc>
          <w:tcPr>
            <w:tcW w:w="922" w:type="dxa"/>
            <w:tcBorders>
              <w:top w:val="nil"/>
              <w:left w:val="nil"/>
              <w:bottom w:val="single" w:color="auto" w:sz="4" w:space="0"/>
              <w:right w:val="single" w:color="auto" w:sz="4" w:space="0"/>
            </w:tcBorders>
            <w:shd w:val="clear" w:color="auto" w:fill="auto"/>
            <w:noWrap/>
            <w:vAlign w:val="center"/>
          </w:tcPr>
          <w:p w14:paraId="52067643">
            <w:pP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54E4EEA4">
            <w:pPr>
              <w:rPr>
                <w:rFonts w:hint="eastAsia" w:ascii="仿宋_GB2312" w:hAnsi="仿宋_GB2312" w:eastAsia="仿宋_GB2312" w:cs="仿宋_GB2312"/>
                <w:sz w:val="24"/>
                <w:szCs w:val="24"/>
              </w:rPr>
            </w:pPr>
          </w:p>
        </w:tc>
      </w:tr>
      <w:tr w14:paraId="4A41B860">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9774AC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861" w:type="dxa"/>
            <w:tcBorders>
              <w:top w:val="nil"/>
              <w:left w:val="nil"/>
              <w:bottom w:val="single" w:color="auto" w:sz="4" w:space="0"/>
              <w:right w:val="single" w:color="auto" w:sz="4" w:space="0"/>
            </w:tcBorders>
            <w:shd w:val="clear" w:color="auto" w:fill="auto"/>
            <w:vAlign w:val="center"/>
          </w:tcPr>
          <w:p w14:paraId="3ACD7AB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开展网站安全监测</w:t>
            </w:r>
          </w:p>
        </w:tc>
        <w:tc>
          <w:tcPr>
            <w:tcW w:w="4072" w:type="dxa"/>
            <w:tcBorders>
              <w:top w:val="nil"/>
              <w:left w:val="nil"/>
              <w:bottom w:val="single" w:color="auto" w:sz="4" w:space="0"/>
              <w:right w:val="single" w:color="auto" w:sz="4" w:space="0"/>
            </w:tcBorders>
            <w:shd w:val="clear" w:color="auto" w:fill="auto"/>
          </w:tcPr>
          <w:p w14:paraId="33C6376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通过互联网监控的方式，对医院网站进行托管式安全检测服务。当监测到用户网站遇到风险状况后，测评机构安全专家会在第一时间确认并通知用户，通知方式除沟通外提供网站检测记录。</w:t>
            </w:r>
          </w:p>
        </w:tc>
        <w:tc>
          <w:tcPr>
            <w:tcW w:w="922" w:type="dxa"/>
            <w:tcBorders>
              <w:top w:val="nil"/>
              <w:left w:val="nil"/>
              <w:bottom w:val="single" w:color="auto" w:sz="4" w:space="0"/>
              <w:right w:val="single" w:color="auto" w:sz="4" w:space="0"/>
            </w:tcBorders>
            <w:shd w:val="clear" w:color="auto" w:fill="auto"/>
            <w:noWrap/>
            <w:vAlign w:val="center"/>
          </w:tcPr>
          <w:p w14:paraId="7D37B28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5309AF51">
            <w:pPr>
              <w:rPr>
                <w:rFonts w:hint="eastAsia" w:ascii="仿宋_GB2312" w:hAnsi="仿宋_GB2312" w:eastAsia="仿宋_GB2312" w:cs="仿宋_GB2312"/>
                <w:sz w:val="24"/>
                <w:szCs w:val="24"/>
              </w:rPr>
            </w:pPr>
          </w:p>
        </w:tc>
      </w:tr>
      <w:tr w14:paraId="4180E941">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3D8DCD9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861" w:type="dxa"/>
            <w:tcBorders>
              <w:top w:val="nil"/>
              <w:left w:val="nil"/>
              <w:bottom w:val="single" w:color="auto" w:sz="4" w:space="0"/>
              <w:right w:val="single" w:color="auto" w:sz="4" w:space="0"/>
            </w:tcBorders>
            <w:shd w:val="clear" w:color="auto" w:fill="auto"/>
            <w:vAlign w:val="center"/>
          </w:tcPr>
          <w:p w14:paraId="7149ADB4">
            <w:pP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网络安全威胁监测</w:t>
            </w:r>
          </w:p>
        </w:tc>
        <w:tc>
          <w:tcPr>
            <w:tcW w:w="4072" w:type="dxa"/>
            <w:tcBorders>
              <w:top w:val="nil"/>
              <w:left w:val="nil"/>
              <w:bottom w:val="single" w:color="auto" w:sz="4" w:space="0"/>
              <w:right w:val="single" w:color="auto" w:sz="4" w:space="0"/>
            </w:tcBorders>
            <w:shd w:val="clear" w:color="auto" w:fill="auto"/>
          </w:tcPr>
          <w:p w14:paraId="5917EAFB">
            <w:pP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通过安全设备及安全监测手段对网络安全数据流量开展监测分析，对发现的异常风险内容进行溯源，在确认风险后第一时间实施安全处置，并每月形成网络威胁监测报告提交给采购人。</w:t>
            </w:r>
          </w:p>
        </w:tc>
        <w:tc>
          <w:tcPr>
            <w:tcW w:w="922" w:type="dxa"/>
            <w:tcBorders>
              <w:top w:val="nil"/>
              <w:left w:val="nil"/>
              <w:bottom w:val="single" w:color="auto" w:sz="4" w:space="0"/>
              <w:right w:val="single" w:color="auto" w:sz="4" w:space="0"/>
            </w:tcBorders>
            <w:shd w:val="clear" w:color="auto" w:fill="auto"/>
            <w:noWrap/>
            <w:vAlign w:val="center"/>
          </w:tcPr>
          <w:p w14:paraId="342FB07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每月</w:t>
            </w:r>
          </w:p>
        </w:tc>
        <w:tc>
          <w:tcPr>
            <w:tcW w:w="719" w:type="dxa"/>
            <w:tcBorders>
              <w:top w:val="nil"/>
              <w:left w:val="nil"/>
              <w:bottom w:val="single" w:color="auto" w:sz="4" w:space="0"/>
              <w:right w:val="single" w:color="auto" w:sz="4" w:space="0"/>
            </w:tcBorders>
            <w:shd w:val="clear" w:color="auto" w:fill="auto"/>
            <w:noWrap/>
            <w:vAlign w:val="center"/>
          </w:tcPr>
          <w:p w14:paraId="4974E9AA">
            <w:pPr>
              <w:rPr>
                <w:rFonts w:hint="eastAsia" w:ascii="仿宋_GB2312" w:hAnsi="仿宋_GB2312" w:eastAsia="仿宋_GB2312" w:cs="仿宋_GB2312"/>
                <w:sz w:val="24"/>
                <w:szCs w:val="24"/>
              </w:rPr>
            </w:pPr>
          </w:p>
        </w:tc>
      </w:tr>
      <w:tr w14:paraId="5253F6F3">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57EB362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861" w:type="dxa"/>
            <w:tcBorders>
              <w:top w:val="nil"/>
              <w:left w:val="nil"/>
              <w:bottom w:val="single" w:color="auto" w:sz="4" w:space="0"/>
              <w:right w:val="single" w:color="auto" w:sz="4" w:space="0"/>
            </w:tcBorders>
            <w:shd w:val="clear" w:color="auto" w:fill="auto"/>
            <w:vAlign w:val="center"/>
          </w:tcPr>
          <w:p w14:paraId="7589327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互联网出口攻击诱捕服务</w:t>
            </w:r>
          </w:p>
        </w:tc>
        <w:tc>
          <w:tcPr>
            <w:tcW w:w="4072" w:type="dxa"/>
            <w:tcBorders>
              <w:top w:val="nil"/>
              <w:left w:val="nil"/>
              <w:bottom w:val="single" w:color="auto" w:sz="4" w:space="0"/>
              <w:right w:val="single" w:color="auto" w:sz="4" w:space="0"/>
            </w:tcBorders>
            <w:shd w:val="clear" w:color="auto" w:fill="auto"/>
          </w:tcPr>
          <w:p w14:paraId="2B62A15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在互联网出口部署模拟真实业务系统的诱饵环境，并部署欺骗防御系统。</w:t>
            </w:r>
          </w:p>
        </w:tc>
        <w:tc>
          <w:tcPr>
            <w:tcW w:w="922" w:type="dxa"/>
            <w:tcBorders>
              <w:top w:val="nil"/>
              <w:left w:val="nil"/>
              <w:bottom w:val="single" w:color="auto" w:sz="4" w:space="0"/>
              <w:right w:val="single" w:color="auto" w:sz="4" w:space="0"/>
            </w:tcBorders>
            <w:shd w:val="clear" w:color="auto" w:fill="auto"/>
            <w:noWrap/>
            <w:vAlign w:val="center"/>
          </w:tcPr>
          <w:p w14:paraId="01D4DF87">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5E8FEBBF">
            <w:pPr>
              <w:rPr>
                <w:rFonts w:hint="eastAsia" w:ascii="仿宋_GB2312" w:hAnsi="仿宋_GB2312" w:eastAsia="仿宋_GB2312" w:cs="仿宋_GB2312"/>
                <w:sz w:val="24"/>
                <w:szCs w:val="24"/>
              </w:rPr>
            </w:pPr>
          </w:p>
        </w:tc>
      </w:tr>
      <w:tr w14:paraId="6FC01DE0">
        <w:tblPrEx>
          <w:tblCellMar>
            <w:top w:w="0" w:type="dxa"/>
            <w:left w:w="108" w:type="dxa"/>
            <w:bottom w:w="0" w:type="dxa"/>
            <w:right w:w="108" w:type="dxa"/>
          </w:tblCellMar>
        </w:tblPrEx>
        <w:trPr>
          <w:trHeight w:val="20" w:hRule="atLeast"/>
          <w:jc w:val="center"/>
        </w:trPr>
        <w:tc>
          <w:tcPr>
            <w:tcW w:w="729" w:type="dxa"/>
            <w:tcBorders>
              <w:top w:val="nil"/>
              <w:left w:val="single" w:color="auto" w:sz="4" w:space="0"/>
              <w:bottom w:val="single" w:color="auto" w:sz="4" w:space="0"/>
              <w:right w:val="single" w:color="auto" w:sz="4" w:space="0"/>
            </w:tcBorders>
            <w:shd w:val="clear" w:color="auto" w:fill="auto"/>
            <w:noWrap/>
            <w:vAlign w:val="center"/>
          </w:tcPr>
          <w:p w14:paraId="2292860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861" w:type="dxa"/>
            <w:tcBorders>
              <w:top w:val="nil"/>
              <w:left w:val="nil"/>
              <w:bottom w:val="single" w:color="auto" w:sz="4" w:space="0"/>
              <w:right w:val="single" w:color="auto" w:sz="4" w:space="0"/>
            </w:tcBorders>
            <w:shd w:val="clear" w:color="auto" w:fill="auto"/>
            <w:vAlign w:val="center"/>
          </w:tcPr>
          <w:p w14:paraId="4428286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电子数据司法鉴定服务</w:t>
            </w:r>
          </w:p>
        </w:tc>
        <w:tc>
          <w:tcPr>
            <w:tcW w:w="4072" w:type="dxa"/>
            <w:tcBorders>
              <w:top w:val="nil"/>
              <w:left w:val="nil"/>
              <w:bottom w:val="single" w:color="auto" w:sz="4" w:space="0"/>
              <w:right w:val="single" w:color="auto" w:sz="4" w:space="0"/>
            </w:tcBorders>
            <w:shd w:val="clear" w:color="auto" w:fill="auto"/>
          </w:tcPr>
          <w:p w14:paraId="51842D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对采购人重要信息系统在发生各类情况（包含但不限于故障、纠纷、投诉等等）需要开展电子数据司法鉴定的有关事宜在服务期内不限次数开展司法鉴定工作并出具具备法律效力的司法鉴定报告。</w:t>
            </w:r>
          </w:p>
        </w:tc>
        <w:tc>
          <w:tcPr>
            <w:tcW w:w="922" w:type="dxa"/>
            <w:tcBorders>
              <w:top w:val="nil"/>
              <w:left w:val="nil"/>
              <w:bottom w:val="single" w:color="auto" w:sz="4" w:space="0"/>
              <w:right w:val="single" w:color="auto" w:sz="4" w:space="0"/>
            </w:tcBorders>
            <w:shd w:val="clear" w:color="auto" w:fill="auto"/>
            <w:noWrap/>
            <w:vAlign w:val="center"/>
          </w:tcPr>
          <w:p w14:paraId="46AE42A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按需</w:t>
            </w:r>
          </w:p>
        </w:tc>
        <w:tc>
          <w:tcPr>
            <w:tcW w:w="719" w:type="dxa"/>
            <w:tcBorders>
              <w:top w:val="nil"/>
              <w:left w:val="nil"/>
              <w:bottom w:val="single" w:color="auto" w:sz="4" w:space="0"/>
              <w:right w:val="single" w:color="auto" w:sz="4" w:space="0"/>
            </w:tcBorders>
            <w:shd w:val="clear" w:color="auto" w:fill="auto"/>
            <w:noWrap/>
            <w:vAlign w:val="center"/>
          </w:tcPr>
          <w:p w14:paraId="3DE4802A">
            <w:pPr>
              <w:rPr>
                <w:rFonts w:hint="eastAsia" w:ascii="仿宋_GB2312" w:hAnsi="仿宋_GB2312" w:eastAsia="仿宋_GB2312" w:cs="仿宋_GB2312"/>
                <w:sz w:val="24"/>
                <w:szCs w:val="24"/>
              </w:rPr>
            </w:pPr>
          </w:p>
        </w:tc>
      </w:tr>
    </w:tbl>
    <w:p w14:paraId="4E76166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注释：以上所有服务在实施期间可根据采购人需求进行调整，并不额外收取费用。</w:t>
      </w:r>
    </w:p>
    <w:p w14:paraId="10E3AA8C">
      <w:pP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2、服务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技术能力要求</w:t>
      </w:r>
    </w:p>
    <w:p w14:paraId="68333BF9">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现场技术服务要求</w:t>
      </w:r>
      <w:r>
        <w:rPr>
          <w:rFonts w:hint="eastAsia" w:ascii="仿宋_GB2312" w:hAnsi="仿宋_GB2312" w:eastAsia="仿宋_GB2312" w:cs="仿宋_GB2312"/>
          <w:color w:val="000000" w:themeColor="text1"/>
          <w:sz w:val="24"/>
          <w:szCs w:val="24"/>
          <w14:textFill>
            <w14:solidFill>
              <w14:schemeClr w14:val="tx1"/>
            </w14:solidFill>
          </w14:textFill>
        </w:rPr>
        <w:t>：响应人指派具备网络安全服务技术能力的服务人员在采购人指定的工作地点按照安全服务需求提供现场网络安全运维服务。</w:t>
      </w:r>
    </w:p>
    <w:p w14:paraId="3F5B14CF">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2.2远程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技术</w:t>
      </w:r>
      <w:r>
        <w:rPr>
          <w:rFonts w:hint="eastAsia" w:ascii="仿宋_GB2312" w:hAnsi="仿宋_GB2312" w:eastAsia="仿宋_GB2312" w:cs="仿宋_GB2312"/>
          <w:color w:val="000000" w:themeColor="text1"/>
          <w:sz w:val="24"/>
          <w:szCs w:val="24"/>
          <w14:textFill>
            <w14:solidFill>
              <w14:schemeClr w14:val="tx1"/>
            </w14:solidFill>
          </w14:textFill>
        </w:rPr>
        <w:t>服务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要求</w:t>
      </w:r>
      <w:r>
        <w:rPr>
          <w:rFonts w:hint="eastAsia" w:ascii="仿宋_GB2312" w:hAnsi="仿宋_GB2312" w:eastAsia="仿宋_GB2312" w:cs="仿宋_GB2312"/>
          <w:color w:val="000000" w:themeColor="text1"/>
          <w:sz w:val="24"/>
          <w:szCs w:val="24"/>
          <w14:textFill>
            <w14:solidFill>
              <w14:schemeClr w14:val="tx1"/>
            </w14:solidFill>
          </w14:textFill>
        </w:rPr>
        <w:t>：响应人在现场人员无法满足服务要求时，可根据现场情况指派相应的技术服务人员通过远程方式诊断并解决问题的服务。</w:t>
      </w:r>
    </w:p>
    <w:p w14:paraId="3D213CF8">
      <w:pPr>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bookmarkStart w:id="52" w:name="_Toc4358600"/>
      <w:r>
        <w:rPr>
          <w:rFonts w:hint="eastAsia" w:ascii="仿宋_GB2312" w:hAnsi="仿宋_GB2312" w:eastAsia="仿宋_GB2312" w:cs="仿宋_GB2312"/>
          <w:color w:val="000000" w:themeColor="text1"/>
          <w:sz w:val="24"/>
          <w:szCs w:val="24"/>
          <w14:textFill>
            <w14:solidFill>
              <w14:schemeClr w14:val="tx1"/>
            </w14:solidFill>
          </w14:textFill>
        </w:rPr>
        <w:t>2.3</w:t>
      </w:r>
      <w:bookmarkEnd w:id="52"/>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项目组成员技术能力要求</w:t>
      </w:r>
    </w:p>
    <w:p w14:paraId="3F2CCAC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2.3.1.人员稳定性保证</w:t>
      </w:r>
    </w:p>
    <w:p w14:paraId="346B7E6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服务现场设项目经理1名，负责项目统一管理，协调工作，并定期向管理人员汇报服务情况，项目经理原则上不得在项目建设期间同时担任其他项目团队工作，提供承诺函并盖公章。</w:t>
      </w:r>
    </w:p>
    <w:p w14:paraId="1ADDB81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响应人应保证安全服务人员稳定，在未经采购人同意的情况下，安全服务人员在服务期间不得随意调换，且不得从事本单位其他项目。</w:t>
      </w:r>
    </w:p>
    <w:p w14:paraId="46EB654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采购人或响应人认为需要更换响应人项目经理和安全人员时，均应提前1个月向对方申明原因，并同时提出新的符合要求的人选，经采购人进行人员资质审核及面试合格后，办理交接手续后方可更换。 </w:t>
      </w:r>
    </w:p>
    <w:p w14:paraId="225D9C8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（以上要求需出具加盖公司公章的承诺函。）</w:t>
      </w:r>
    </w:p>
    <w:p w14:paraId="4F992D5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2.3.2人员运维能力要求</w:t>
      </w:r>
    </w:p>
    <w:p w14:paraId="426DF0B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派遣运维人员安全或现场支持前，需提前提供派遣人员的资质，对于不符合本项目运维人员资质要求的，采购人有权拒绝该人员进场；若响应人安全、现场服务人员能力不足以承担本项目工作时，采购人有权要求响应人随时更换安全、现场服务人员。</w:t>
      </w:r>
    </w:p>
    <w:p w14:paraId="4375314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（一）项目经理要求：</w:t>
      </w:r>
    </w:p>
    <w:p w14:paraId="01EF9682">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原则上要求具有本科及以上学历；</w:t>
      </w:r>
    </w:p>
    <w:p w14:paraId="22EDC47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具有专业的项目管理技能，具备信息系统项目管理师证书；</w:t>
      </w:r>
    </w:p>
    <w:p w14:paraId="1D8089A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服务人员至少满足以下要求：</w:t>
      </w:r>
    </w:p>
    <w:p w14:paraId="37ABAEE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具备注册渗透测试工程师CISP-PTE 1名（提供证书），国家重要信息系统保护人员证书（CIIP-I）2名（提供证书）。国家互联网应急中心网络安全能力认证网络安全管理人员1名。</w:t>
      </w:r>
    </w:p>
    <w:p w14:paraId="6883F075">
      <w:pPr>
        <w:ind w:firstLine="480" w:firstLineChars="200"/>
        <w:rPr>
          <w:rFonts w:hint="eastAsia" w:ascii="仿宋_GB2312" w:hAnsi="仿宋_GB2312" w:eastAsia="仿宋_GB2312" w:cs="仿宋_GB2312"/>
          <w:sz w:val="24"/>
          <w:szCs w:val="24"/>
        </w:rPr>
      </w:pPr>
      <w:bookmarkStart w:id="53" w:name="_Toc4358601"/>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人员</w:t>
      </w:r>
      <w:r>
        <w:rPr>
          <w:rFonts w:hint="eastAsia" w:ascii="仿宋_GB2312" w:hAnsi="仿宋_GB2312" w:eastAsia="仿宋_GB2312" w:cs="仿宋_GB2312"/>
          <w:sz w:val="24"/>
          <w:szCs w:val="24"/>
        </w:rPr>
        <w:t>变更</w:t>
      </w:r>
      <w:bookmarkEnd w:id="53"/>
      <w:r>
        <w:rPr>
          <w:rFonts w:hint="eastAsia" w:ascii="仿宋_GB2312" w:hAnsi="仿宋_GB2312" w:eastAsia="仿宋_GB2312" w:cs="仿宋_GB2312"/>
          <w:sz w:val="24"/>
          <w:szCs w:val="24"/>
        </w:rPr>
        <w:t>要求：</w:t>
      </w:r>
    </w:p>
    <w:p w14:paraId="28ACA4B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根据运维实际情况，响应人应与项目单位一起通过联络会等方式明确维保需求变更内容，并以合同或会议纪要形式加以明确，与标准运维工作不相符的，须报采购人审批并在统一指导下开展相关工作。</w:t>
      </w:r>
    </w:p>
    <w:p w14:paraId="7FC60308">
      <w:pPr>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bookmarkStart w:id="54" w:name="_Toc4358603"/>
      <w:r>
        <w:rPr>
          <w:rFonts w:hint="eastAsia" w:ascii="仿宋_GB2312" w:hAnsi="仿宋_GB2312" w:eastAsia="仿宋_GB2312" w:cs="仿宋_GB2312"/>
          <w:color w:val="000000" w:themeColor="text1"/>
          <w:sz w:val="24"/>
          <w:szCs w:val="24"/>
          <w14:textFill>
            <w14:solidFill>
              <w14:schemeClr w14:val="tx1"/>
            </w14:solidFill>
          </w14:textFill>
        </w:rPr>
        <w:t>2.4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安全服务</w:t>
      </w:r>
      <w:r>
        <w:rPr>
          <w:rFonts w:hint="eastAsia" w:ascii="仿宋_GB2312" w:hAnsi="仿宋_GB2312" w:eastAsia="仿宋_GB2312" w:cs="仿宋_GB2312"/>
          <w:color w:val="000000" w:themeColor="text1"/>
          <w:sz w:val="24"/>
          <w:szCs w:val="24"/>
          <w14:textFill>
            <w14:solidFill>
              <w14:schemeClr w14:val="tx1"/>
            </w14:solidFill>
          </w14:textFill>
        </w:rPr>
        <w:t>质量</w:t>
      </w:r>
      <w:bookmarkEnd w:id="54"/>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要求</w:t>
      </w:r>
    </w:p>
    <w:p w14:paraId="6A6F4084">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2.4.1.服务规范要求</w:t>
      </w:r>
    </w:p>
    <w:p w14:paraId="490AF679">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规范除本技术规范书特殊规定外，响应人所提供技术服务均按《医院信息系统管理要求》等相关管理办法所列标准进行。要求所用标准必须是最新版本，如果这些标准有矛盾时，应按最高标准的条款执行或按双方商定的标准执行，如果响应人选用本技术规范书规定以外的标准时，需提交替换标准相当或优于技术规范书规定的标准的证明。</w:t>
      </w:r>
    </w:p>
    <w:p w14:paraId="04071E37">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bookmarkStart w:id="55" w:name="_Toc4358602"/>
      <w:r>
        <w:rPr>
          <w:rFonts w:hint="eastAsia" w:ascii="仿宋_GB2312" w:hAnsi="仿宋_GB2312" w:eastAsia="仿宋_GB2312" w:cs="仿宋_GB2312"/>
          <w:color w:val="000000" w:themeColor="text1"/>
          <w:sz w:val="24"/>
          <w:szCs w:val="24"/>
          <w14:textFill>
            <w14:solidFill>
              <w14:schemeClr w14:val="tx1"/>
            </w14:solidFill>
          </w14:textFill>
        </w:rPr>
        <w:t>2.4.2.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w:t>
      </w:r>
      <w:r>
        <w:rPr>
          <w:rFonts w:hint="eastAsia" w:ascii="仿宋_GB2312" w:hAnsi="仿宋_GB2312" w:eastAsia="仿宋_GB2312" w:cs="仿宋_GB2312"/>
          <w:color w:val="000000" w:themeColor="text1"/>
          <w:sz w:val="24"/>
          <w:szCs w:val="24"/>
          <w14:textFill>
            <w14:solidFill>
              <w14:schemeClr w14:val="tx1"/>
            </w14:solidFill>
          </w14:textFill>
        </w:rPr>
        <w:t>进度</w:t>
      </w:r>
      <w:bookmarkEnd w:id="55"/>
      <w:r>
        <w:rPr>
          <w:rFonts w:hint="eastAsia" w:ascii="仿宋_GB2312" w:hAnsi="仿宋_GB2312" w:eastAsia="仿宋_GB2312" w:cs="仿宋_GB2312"/>
          <w:color w:val="000000" w:themeColor="text1"/>
          <w:sz w:val="24"/>
          <w:szCs w:val="24"/>
          <w14:textFill>
            <w14:solidFill>
              <w14:schemeClr w14:val="tx1"/>
            </w14:solidFill>
          </w14:textFill>
        </w:rPr>
        <w:t>要求：</w:t>
      </w:r>
    </w:p>
    <w:p w14:paraId="201ED1C4">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人应与项目单位一起以采购人的采购文件和技术规范书为基础，结合响应人的应答书，共同确定详细的运维进度工作计划，明确每个阶段的运维工作内容、阶段应交付的成果、验收依据、双方的责任和义务，经采购人和项目单位认可后，以合同或会议纪要形式加以明确。</w:t>
      </w:r>
    </w:p>
    <w:p w14:paraId="5961FF01">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响应人的运维进度管理应满足技术规范书中的要求，运维进度管理应该至少包含以下内容：</w:t>
      </w:r>
    </w:p>
    <w:p w14:paraId="1F80A90D">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响应人在了解项目的前提下，根据服务内容，提交总体进度计划，以及定期提交阶段性工作计划；</w:t>
      </w:r>
    </w:p>
    <w:p w14:paraId="25E2097A">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定期跟踪检查，对可能发生的工作问题提出相应对策。</w:t>
      </w:r>
    </w:p>
    <w:p w14:paraId="6B92582C">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定期召开或参加项目例会、协调会议等，向采购人报运维周期进展情况，提交进度报告，及时解决相关问题。</w:t>
      </w:r>
    </w:p>
    <w:p w14:paraId="717080B9">
      <w:pPr>
        <w:ind w:firstLine="480" w:firstLineChars="200"/>
        <w:rPr>
          <w:rFonts w:hint="eastAsia" w:ascii="仿宋_GB2312" w:hAnsi="仿宋_GB2312" w:eastAsia="仿宋_GB2312" w:cs="仿宋_GB2312"/>
          <w:color w:val="FF0000"/>
          <w:sz w:val="24"/>
          <w:szCs w:val="24"/>
        </w:rPr>
      </w:pPr>
    </w:p>
    <w:p w14:paraId="4159449C">
      <w:pPr>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应急响应服务具体要求</w:t>
      </w:r>
    </w:p>
    <w:p w14:paraId="551E976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（1）故障响应时间</w:t>
      </w:r>
    </w:p>
    <w:p w14:paraId="11A3574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设置有专人7×24 小时接听的电话热线，用于响应系统运行故障及技术支持请求。</w:t>
      </w:r>
    </w:p>
    <w:p w14:paraId="42585194">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B"/>
      </w:r>
      <w:r>
        <w:rPr>
          <w:rFonts w:hint="eastAsia" w:ascii="仿宋_GB2312" w:hAnsi="仿宋_GB2312" w:eastAsia="仿宋_GB2312" w:cs="仿宋_GB2312"/>
          <w:sz w:val="24"/>
          <w:szCs w:val="24"/>
        </w:rPr>
        <w:t>（2）安全风险应急服务响应时间（最低要求）：</w:t>
      </w:r>
    </w:p>
    <w:tbl>
      <w:tblPr>
        <w:tblStyle w:val="31"/>
        <w:tblW w:w="8711" w:type="dxa"/>
        <w:tblInd w:w="121" w:type="dxa"/>
        <w:tblLayout w:type="fixed"/>
        <w:tblCellMar>
          <w:top w:w="0" w:type="dxa"/>
          <w:left w:w="108" w:type="dxa"/>
          <w:bottom w:w="0" w:type="dxa"/>
          <w:right w:w="108" w:type="dxa"/>
        </w:tblCellMar>
      </w:tblPr>
      <w:tblGrid>
        <w:gridCol w:w="4184"/>
        <w:gridCol w:w="2383"/>
        <w:gridCol w:w="2144"/>
      </w:tblGrid>
      <w:tr w14:paraId="7EE8F964">
        <w:tblPrEx>
          <w:tblCellMar>
            <w:top w:w="0" w:type="dxa"/>
            <w:left w:w="108" w:type="dxa"/>
            <w:bottom w:w="0" w:type="dxa"/>
            <w:right w:w="108" w:type="dxa"/>
          </w:tblCellMar>
        </w:tblPrEx>
        <w:trPr>
          <w:trHeight w:val="332" w:hRule="atLeast"/>
        </w:trPr>
        <w:tc>
          <w:tcPr>
            <w:tcW w:w="4184" w:type="dxa"/>
            <w:tcBorders>
              <w:top w:val="single" w:color="auto" w:sz="4" w:space="0"/>
              <w:left w:val="single" w:color="auto" w:sz="4" w:space="0"/>
              <w:bottom w:val="single" w:color="auto" w:sz="4" w:space="0"/>
              <w:right w:val="single" w:color="auto" w:sz="4" w:space="0"/>
            </w:tcBorders>
            <w:shd w:val="pct10" w:color="auto" w:fill="auto"/>
            <w:noWrap/>
            <w:vAlign w:val="center"/>
          </w:tcPr>
          <w:p w14:paraId="513E6E3C">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故障级别</w:t>
            </w:r>
          </w:p>
        </w:tc>
        <w:tc>
          <w:tcPr>
            <w:tcW w:w="2383" w:type="dxa"/>
            <w:tcBorders>
              <w:top w:val="single" w:color="auto" w:sz="4" w:space="0"/>
              <w:left w:val="nil"/>
              <w:bottom w:val="single" w:color="auto" w:sz="4" w:space="0"/>
              <w:right w:val="single" w:color="auto" w:sz="4" w:space="0"/>
            </w:tcBorders>
            <w:shd w:val="pct10" w:color="auto" w:fill="auto"/>
            <w:noWrap/>
            <w:vAlign w:val="center"/>
          </w:tcPr>
          <w:p w14:paraId="6317DAF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响应时间</w:t>
            </w:r>
          </w:p>
        </w:tc>
        <w:tc>
          <w:tcPr>
            <w:tcW w:w="2144" w:type="dxa"/>
            <w:tcBorders>
              <w:top w:val="single" w:color="auto" w:sz="4" w:space="0"/>
              <w:left w:val="nil"/>
              <w:bottom w:val="single" w:color="auto" w:sz="4" w:space="0"/>
              <w:right w:val="single" w:color="auto" w:sz="4" w:space="0"/>
            </w:tcBorders>
            <w:shd w:val="pct10" w:color="auto" w:fill="auto"/>
            <w:noWrap/>
            <w:vAlign w:val="center"/>
          </w:tcPr>
          <w:p w14:paraId="253860D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故障解决时间</w:t>
            </w:r>
          </w:p>
        </w:tc>
      </w:tr>
      <w:tr w14:paraId="5AE3FC70">
        <w:tblPrEx>
          <w:tblCellMar>
            <w:top w:w="0" w:type="dxa"/>
            <w:left w:w="108" w:type="dxa"/>
            <w:bottom w:w="0" w:type="dxa"/>
            <w:right w:w="108" w:type="dxa"/>
          </w:tblCellMar>
        </w:tblPrEx>
        <w:trPr>
          <w:trHeight w:val="90" w:hRule="atLeast"/>
        </w:trPr>
        <w:tc>
          <w:tcPr>
            <w:tcW w:w="4184" w:type="dxa"/>
            <w:tcBorders>
              <w:top w:val="nil"/>
              <w:left w:val="single" w:color="auto" w:sz="4" w:space="0"/>
              <w:bottom w:val="single" w:color="auto" w:sz="4" w:space="0"/>
              <w:right w:val="single" w:color="auto" w:sz="4" w:space="0"/>
            </w:tcBorders>
            <w:noWrap/>
            <w:vAlign w:val="center"/>
          </w:tcPr>
          <w:p w14:paraId="4AB45BE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I级：属于紧急问题；其具体现象为：系统崩溃导致业务停止、数据丢失。</w:t>
            </w:r>
          </w:p>
        </w:tc>
        <w:tc>
          <w:tcPr>
            <w:tcW w:w="2383" w:type="dxa"/>
            <w:tcBorders>
              <w:top w:val="nil"/>
              <w:left w:val="nil"/>
              <w:bottom w:val="single" w:color="auto" w:sz="4" w:space="0"/>
              <w:right w:val="single" w:color="auto" w:sz="4" w:space="0"/>
            </w:tcBorders>
            <w:noWrap/>
            <w:vAlign w:val="center"/>
          </w:tcPr>
          <w:p w14:paraId="0435859B">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30分钟到达现场，2小时内提交故障处理方案</w:t>
            </w:r>
          </w:p>
        </w:tc>
        <w:tc>
          <w:tcPr>
            <w:tcW w:w="2144" w:type="dxa"/>
            <w:tcBorders>
              <w:top w:val="nil"/>
              <w:left w:val="nil"/>
              <w:bottom w:val="single" w:color="auto" w:sz="4" w:space="0"/>
              <w:right w:val="single" w:color="auto" w:sz="4" w:space="0"/>
            </w:tcBorders>
            <w:noWrap/>
            <w:vAlign w:val="center"/>
          </w:tcPr>
          <w:p w14:paraId="14534DF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3小时以内</w:t>
            </w:r>
          </w:p>
        </w:tc>
      </w:tr>
      <w:tr w14:paraId="6F409EF6">
        <w:tblPrEx>
          <w:tblCellMar>
            <w:top w:w="0" w:type="dxa"/>
            <w:left w:w="108" w:type="dxa"/>
            <w:bottom w:w="0" w:type="dxa"/>
            <w:right w:w="108" w:type="dxa"/>
          </w:tblCellMar>
        </w:tblPrEx>
        <w:trPr>
          <w:trHeight w:val="387" w:hRule="atLeast"/>
        </w:trPr>
        <w:tc>
          <w:tcPr>
            <w:tcW w:w="4184" w:type="dxa"/>
            <w:tcBorders>
              <w:top w:val="nil"/>
              <w:left w:val="single" w:color="auto" w:sz="4" w:space="0"/>
              <w:bottom w:val="single" w:color="auto" w:sz="4" w:space="0"/>
              <w:right w:val="single" w:color="auto" w:sz="4" w:space="0"/>
            </w:tcBorders>
            <w:noWrap/>
            <w:vAlign w:val="center"/>
          </w:tcPr>
          <w:p w14:paraId="7758357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II级：属于严重问题；其具体现象为：出现部分部件失效、系统性能下降但能正常运行，不影响正常业务运作。</w:t>
            </w:r>
          </w:p>
        </w:tc>
        <w:tc>
          <w:tcPr>
            <w:tcW w:w="2383" w:type="dxa"/>
            <w:tcBorders>
              <w:top w:val="nil"/>
              <w:left w:val="nil"/>
              <w:bottom w:val="single" w:color="auto" w:sz="4" w:space="0"/>
              <w:right w:val="single" w:color="auto" w:sz="4" w:space="0"/>
            </w:tcBorders>
            <w:noWrap/>
            <w:vAlign w:val="center"/>
          </w:tcPr>
          <w:p w14:paraId="0E0916B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30分钟到达现场，4小时内提交故障处理方案</w:t>
            </w:r>
          </w:p>
        </w:tc>
        <w:tc>
          <w:tcPr>
            <w:tcW w:w="2144" w:type="dxa"/>
            <w:tcBorders>
              <w:top w:val="nil"/>
              <w:left w:val="nil"/>
              <w:bottom w:val="single" w:color="auto" w:sz="4" w:space="0"/>
              <w:right w:val="single" w:color="auto" w:sz="4" w:space="0"/>
            </w:tcBorders>
            <w:noWrap/>
            <w:vAlign w:val="center"/>
          </w:tcPr>
          <w:p w14:paraId="0DB837C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5小时以内</w:t>
            </w:r>
          </w:p>
        </w:tc>
      </w:tr>
      <w:tr w14:paraId="38662620">
        <w:tblPrEx>
          <w:tblCellMar>
            <w:top w:w="0" w:type="dxa"/>
            <w:left w:w="108" w:type="dxa"/>
            <w:bottom w:w="0" w:type="dxa"/>
            <w:right w:w="108" w:type="dxa"/>
          </w:tblCellMar>
        </w:tblPrEx>
        <w:trPr>
          <w:trHeight w:val="621" w:hRule="atLeast"/>
        </w:trPr>
        <w:tc>
          <w:tcPr>
            <w:tcW w:w="4184" w:type="dxa"/>
            <w:tcBorders>
              <w:top w:val="nil"/>
              <w:left w:val="single" w:color="auto" w:sz="4" w:space="0"/>
              <w:bottom w:val="single" w:color="auto" w:sz="4" w:space="0"/>
              <w:right w:val="single" w:color="auto" w:sz="4" w:space="0"/>
            </w:tcBorders>
            <w:noWrap/>
            <w:vAlign w:val="center"/>
          </w:tcPr>
          <w:p w14:paraId="1D1F431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III级：属于较严重问题；其具体现象为：出现系统报错或警告，但业务系统能继续运行且性能不受影响。</w:t>
            </w:r>
          </w:p>
        </w:tc>
        <w:tc>
          <w:tcPr>
            <w:tcW w:w="2383" w:type="dxa"/>
            <w:tcBorders>
              <w:top w:val="nil"/>
              <w:left w:val="nil"/>
              <w:bottom w:val="single" w:color="auto" w:sz="4" w:space="0"/>
              <w:right w:val="single" w:color="auto" w:sz="4" w:space="0"/>
            </w:tcBorders>
            <w:noWrap/>
            <w:vAlign w:val="center"/>
          </w:tcPr>
          <w:p w14:paraId="535ECA9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30分钟到达现场，6小时内提交故障处理方案</w:t>
            </w:r>
          </w:p>
        </w:tc>
        <w:tc>
          <w:tcPr>
            <w:tcW w:w="2144" w:type="dxa"/>
            <w:tcBorders>
              <w:top w:val="nil"/>
              <w:left w:val="nil"/>
              <w:bottom w:val="single" w:color="auto" w:sz="4" w:space="0"/>
              <w:right w:val="single" w:color="auto" w:sz="4" w:space="0"/>
            </w:tcBorders>
            <w:noWrap/>
            <w:vAlign w:val="center"/>
          </w:tcPr>
          <w:p w14:paraId="768DC90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eastAsia="zh-Hans"/>
              </w:rPr>
              <w:t>小时以内</w:t>
            </w:r>
          </w:p>
        </w:tc>
      </w:tr>
      <w:tr w14:paraId="4A5DC933">
        <w:tblPrEx>
          <w:tblCellMar>
            <w:top w:w="0" w:type="dxa"/>
            <w:left w:w="108" w:type="dxa"/>
            <w:bottom w:w="0" w:type="dxa"/>
            <w:right w:w="108" w:type="dxa"/>
          </w:tblCellMar>
        </w:tblPrEx>
        <w:trPr>
          <w:trHeight w:val="131" w:hRule="atLeast"/>
        </w:trPr>
        <w:tc>
          <w:tcPr>
            <w:tcW w:w="4184" w:type="dxa"/>
            <w:tcBorders>
              <w:top w:val="nil"/>
              <w:left w:val="single" w:color="auto" w:sz="4" w:space="0"/>
              <w:bottom w:val="single" w:color="auto" w:sz="4" w:space="0"/>
              <w:right w:val="single" w:color="auto" w:sz="4" w:space="0"/>
            </w:tcBorders>
            <w:noWrap/>
            <w:vAlign w:val="center"/>
          </w:tcPr>
          <w:p w14:paraId="41D17AF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IV级：属于普通问题；其具体现象为：系统技术功能、安装或配置咨询，或其他显然不影响业务的预约服务。</w:t>
            </w:r>
          </w:p>
        </w:tc>
        <w:tc>
          <w:tcPr>
            <w:tcW w:w="2383" w:type="dxa"/>
            <w:tcBorders>
              <w:top w:val="nil"/>
              <w:left w:val="nil"/>
              <w:bottom w:val="single" w:color="auto" w:sz="4" w:space="0"/>
              <w:right w:val="single" w:color="auto" w:sz="4" w:space="0"/>
            </w:tcBorders>
            <w:noWrap/>
            <w:vAlign w:val="center"/>
          </w:tcPr>
          <w:p w14:paraId="1C66E0F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30分钟到达现场，12小时内提交故障处理方案</w:t>
            </w:r>
          </w:p>
        </w:tc>
        <w:tc>
          <w:tcPr>
            <w:tcW w:w="2144" w:type="dxa"/>
            <w:tcBorders>
              <w:top w:val="nil"/>
              <w:left w:val="nil"/>
              <w:bottom w:val="single" w:color="auto" w:sz="4" w:space="0"/>
              <w:right w:val="single" w:color="auto" w:sz="4" w:space="0"/>
            </w:tcBorders>
            <w:noWrap/>
            <w:vAlign w:val="center"/>
          </w:tcPr>
          <w:p w14:paraId="31D16D6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eastAsia="zh-Hans"/>
              </w:rPr>
              <w:t>小时以内</w:t>
            </w:r>
          </w:p>
        </w:tc>
      </w:tr>
    </w:tbl>
    <w:p w14:paraId="7061B487">
      <w:pPr>
        <w:rPr>
          <w:rFonts w:hint="eastAsia" w:ascii="仿宋_GB2312" w:hAnsi="仿宋_GB2312" w:eastAsia="仿宋_GB2312" w:cs="仿宋_GB2312"/>
          <w:sz w:val="24"/>
          <w:szCs w:val="24"/>
        </w:rPr>
      </w:pPr>
    </w:p>
    <w:p w14:paraId="6A310FA5">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bookmarkStart w:id="56" w:name="_Toc11705"/>
      <w:r>
        <w:rPr>
          <w:rFonts w:hint="eastAsia" w:ascii="仿宋_GB2312" w:hAnsi="仿宋_GB2312" w:eastAsia="仿宋_GB2312" w:cs="仿宋_GB2312"/>
          <w:color w:val="000000" w:themeColor="text1"/>
          <w:sz w:val="24"/>
          <w:szCs w:val="24"/>
          <w14:textFill>
            <w14:solidFill>
              <w14:schemeClr w14:val="tx1"/>
            </w14:solidFill>
          </w14:textFill>
        </w:rPr>
        <w:t>（3）应急</w:t>
      </w:r>
      <w:bookmarkEnd w:id="56"/>
      <w:r>
        <w:rPr>
          <w:rFonts w:hint="eastAsia" w:ascii="仿宋_GB2312" w:hAnsi="仿宋_GB2312" w:eastAsia="仿宋_GB2312" w:cs="仿宋_GB2312"/>
          <w:color w:val="000000" w:themeColor="text1"/>
          <w:sz w:val="24"/>
          <w:szCs w:val="24"/>
          <w14:textFill>
            <w14:solidFill>
              <w14:schemeClr w14:val="tx1"/>
            </w14:solidFill>
          </w14:textFill>
        </w:rPr>
        <w:t>服务要求</w:t>
      </w:r>
    </w:p>
    <w:p w14:paraId="7732109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对于通过远程支持不能解决的设备系统故障，响应人应迅速提供7*24小时现场支持服务，安排经验丰富的技术工程师赴现场分析故障原因，制定故障解决方案，并最终排除故障。</w:t>
      </w:r>
    </w:p>
    <w:p w14:paraId="56B38763">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由于交通工具、道路、天气等外部不可抗拒的因素影响，导致响应人服务人员无法按时到达现场的例外（由响应人提出书面免除考核申请，明确不可抗拒理由，并经采购人现场部门确认、主管部门审核）。</w:t>
      </w:r>
    </w:p>
    <w:p w14:paraId="405DB7A8">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（4）系统恢复和故障解决时限要求</w:t>
      </w:r>
    </w:p>
    <w:p w14:paraId="665B87F0">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对于影响业务的一级故障，在进行故障处理时，响应人应优先考虑业务恢复，然后再彻底解决故障。</w:t>
      </w:r>
    </w:p>
    <w:p w14:paraId="607AEF35">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应急</w:t>
      </w:r>
      <w:r>
        <w:rPr>
          <w:rFonts w:hint="eastAsia" w:ascii="仿宋_GB2312" w:hAnsi="仿宋_GB2312" w:eastAsia="仿宋_GB2312" w:cs="仿宋_GB2312"/>
          <w:color w:val="000000" w:themeColor="text1"/>
          <w:sz w:val="24"/>
          <w:szCs w:val="24"/>
          <w14:textFill>
            <w14:solidFill>
              <w14:schemeClr w14:val="tx1"/>
            </w14:solidFill>
          </w14:textFill>
        </w:rPr>
        <w:t>服务质量要求</w:t>
      </w:r>
    </w:p>
    <w:p w14:paraId="6737A91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响应人应根据采购人实际情况</w:t>
      </w:r>
      <w:r>
        <w:rPr>
          <w:rFonts w:hint="eastAsia" w:ascii="仿宋_GB2312" w:hAnsi="仿宋_GB2312" w:eastAsia="仿宋_GB2312" w:cs="仿宋_GB2312"/>
          <w:sz w:val="24"/>
          <w:szCs w:val="24"/>
        </w:rPr>
        <w:t>，加强与设备生产厂家的合作，建立本地服务团队，建立本地备件库或现场备件库满足故障响应时间要求，提供可靠的备品备件和技术服务；</w:t>
      </w:r>
    </w:p>
    <w:p w14:paraId="5D5F5D6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响应人提供的备品备件不得发生部件不兼容、微码不匹配等情况；</w:t>
      </w:r>
    </w:p>
    <w:p w14:paraId="2E8E33A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备品备件要具有相关质量证明，不得使用回收的旧件。发生备品备件更换后，存储介质类故障部件属采购人所有，响应人无权处置；</w:t>
      </w:r>
    </w:p>
    <w:p w14:paraId="20601FE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原厂设备在服务期间如需要设备生产厂商相关支持或服务，响应人承保后应与原厂商协商解决；</w:t>
      </w:r>
    </w:p>
    <w:p w14:paraId="22B3B38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响应人须提供7*24小时不间断技术支持服务；</w:t>
      </w:r>
    </w:p>
    <w:p w14:paraId="62FB5C78">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响应人须建立紧急事件处理机制，按照采购人要求调动设备生产厂商；</w:t>
      </w:r>
    </w:p>
    <w:p w14:paraId="60174F4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资源消除故障，响应人需充分理解采购人系统及设备现场运行现状，配合采购人建立信息系统应急响应机制。</w:t>
      </w:r>
    </w:p>
    <w:p w14:paraId="423F95FA">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w:char="F0AB"/>
      </w:r>
      <w:r>
        <w:rPr>
          <w:rFonts w:hint="eastAsia" w:ascii="仿宋_GB2312" w:hAnsi="仿宋_GB2312" w:eastAsia="仿宋_GB2312" w:cs="仿宋_GB2312"/>
          <w:sz w:val="24"/>
          <w:szCs w:val="24"/>
        </w:rPr>
        <w:t>5、其他要求</w:t>
      </w:r>
    </w:p>
    <w:p w14:paraId="60580EB0">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此项目不得转包。</w:t>
      </w:r>
    </w:p>
    <w:p w14:paraId="1FB084F3">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lang w:val="en-US" w:eastAsia="zh-CN"/>
        </w:rPr>
      </w:pPr>
    </w:p>
    <w:p w14:paraId="02914867">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、评审方式：综合评分法。</w:t>
      </w:r>
    </w:p>
    <w:tbl>
      <w:tblPr>
        <w:tblStyle w:val="95"/>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3"/>
        <w:gridCol w:w="19"/>
        <w:gridCol w:w="1253"/>
        <w:gridCol w:w="6382"/>
        <w:gridCol w:w="7"/>
      </w:tblGrid>
      <w:tr w14:paraId="1C7B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478" w:hRule="atLeast"/>
        </w:trPr>
        <w:tc>
          <w:tcPr>
            <w:tcW w:w="640" w:type="pct"/>
            <w:gridSpan w:val="2"/>
          </w:tcPr>
          <w:p w14:paraId="285AF333">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评审因素</w:t>
            </w:r>
          </w:p>
        </w:tc>
        <w:tc>
          <w:tcPr>
            <w:tcW w:w="4356" w:type="pct"/>
            <w:gridSpan w:val="2"/>
          </w:tcPr>
          <w:p w14:paraId="4430BACD">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评审标准</w:t>
            </w:r>
          </w:p>
        </w:tc>
      </w:tr>
      <w:tr w14:paraId="7ABC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1044" w:hRule="atLeast"/>
        </w:trPr>
        <w:tc>
          <w:tcPr>
            <w:tcW w:w="640" w:type="pct"/>
            <w:gridSpan w:val="2"/>
          </w:tcPr>
          <w:p w14:paraId="338AEE20">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分值构成</w:t>
            </w:r>
          </w:p>
        </w:tc>
        <w:tc>
          <w:tcPr>
            <w:tcW w:w="4356" w:type="pct"/>
            <w:gridSpan w:val="2"/>
          </w:tcPr>
          <w:p w14:paraId="73DE1DC9">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报价得分</w:t>
            </w:r>
            <w:r>
              <w:rPr>
                <w:rFonts w:hint="eastAsia" w:ascii="仿宋_GB2312" w:hAnsi="仿宋_GB2312" w:eastAsia="仿宋_GB2312" w:cs="仿宋_GB2312"/>
                <w:snapToGrid w:val="0"/>
                <w:color w:val="000000"/>
                <w:sz w:val="24"/>
                <w:szCs w:val="24"/>
                <w:lang w:val="en-US" w:eastAsia="zh-CN"/>
              </w:rPr>
              <w:t>20</w:t>
            </w:r>
            <w:r>
              <w:rPr>
                <w:rFonts w:hint="eastAsia" w:ascii="仿宋_GB2312" w:hAnsi="仿宋_GB2312" w:eastAsia="仿宋_GB2312" w:cs="仿宋_GB2312"/>
                <w:snapToGrid w:val="0"/>
                <w:color w:val="000000"/>
                <w:sz w:val="24"/>
                <w:szCs w:val="24"/>
                <w:lang w:eastAsia="zh-CN"/>
              </w:rPr>
              <w:t>分</w:t>
            </w:r>
          </w:p>
          <w:p w14:paraId="2B29A8E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技术部分65分</w:t>
            </w:r>
          </w:p>
          <w:p w14:paraId="7841433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商务部分20分</w:t>
            </w:r>
          </w:p>
        </w:tc>
      </w:tr>
      <w:tr w14:paraId="55C9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1479" w:hRule="atLeast"/>
        </w:trPr>
        <w:tc>
          <w:tcPr>
            <w:tcW w:w="640" w:type="pct"/>
            <w:gridSpan w:val="2"/>
          </w:tcPr>
          <w:p w14:paraId="2A13DEB1">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w:t>
            </w:r>
          </w:p>
        </w:tc>
        <w:tc>
          <w:tcPr>
            <w:tcW w:w="715" w:type="pct"/>
          </w:tcPr>
          <w:p w14:paraId="5752E65E">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投标报价得分(</w:t>
            </w:r>
            <w:r>
              <w:rPr>
                <w:rFonts w:hint="eastAsia" w:ascii="仿宋_GB2312" w:hAnsi="仿宋_GB2312" w:eastAsia="仿宋_GB2312" w:cs="仿宋_GB2312"/>
                <w:snapToGrid w:val="0"/>
                <w:color w:val="000000"/>
                <w:sz w:val="24"/>
                <w:szCs w:val="24"/>
                <w:lang w:val="en-US" w:eastAsia="zh-CN"/>
              </w:rPr>
              <w:t>20</w:t>
            </w:r>
            <w:r>
              <w:rPr>
                <w:rFonts w:hint="eastAsia" w:ascii="仿宋_GB2312" w:hAnsi="仿宋_GB2312" w:eastAsia="仿宋_GB2312" w:cs="仿宋_GB2312"/>
                <w:snapToGrid w:val="0"/>
                <w:color w:val="000000"/>
                <w:sz w:val="24"/>
                <w:szCs w:val="24"/>
                <w:lang w:eastAsia="en-US"/>
              </w:rPr>
              <w:t>.0分)</w:t>
            </w:r>
          </w:p>
        </w:tc>
        <w:tc>
          <w:tcPr>
            <w:tcW w:w="3641" w:type="pct"/>
          </w:tcPr>
          <w:p w14:paraId="225C9B9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投标报价得分=(评标基准价/投标报价)X价格分值【注：满足采购文件要求且投标价格最低的投标报价为评标基准价。】最低报价不是中标的唯一依据。因落实政府采购政策进行价格调整的，以调整后的价格计算评标基准价和投标报价。</w:t>
            </w:r>
          </w:p>
        </w:tc>
      </w:tr>
      <w:tr w14:paraId="0B1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96" w:hRule="atLeast"/>
        </w:trPr>
        <w:tc>
          <w:tcPr>
            <w:tcW w:w="640" w:type="pct"/>
            <w:gridSpan w:val="2"/>
            <w:vMerge w:val="restart"/>
          </w:tcPr>
          <w:p w14:paraId="30DFA455">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技术部分</w:t>
            </w:r>
          </w:p>
          <w:p w14:paraId="0EB019A3">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(65.0分)</w:t>
            </w:r>
          </w:p>
        </w:tc>
        <w:tc>
          <w:tcPr>
            <w:tcW w:w="715" w:type="pct"/>
          </w:tcPr>
          <w:p w14:paraId="14D44401">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网络安全服务实施方案(18分)</w:t>
            </w:r>
          </w:p>
        </w:tc>
        <w:tc>
          <w:tcPr>
            <w:tcW w:w="3641" w:type="pct"/>
          </w:tcPr>
          <w:p w14:paraId="2E41A046">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zh-CN"/>
              </w:rPr>
              <w:t>根据对本项目整体情况的理解,提供安全服务方案，包含但不限于以下内容：</w:t>
            </w:r>
            <w:r>
              <w:rPr>
                <w:rFonts w:hint="default" w:ascii="仿宋_GB2312" w:hAnsi="仿宋_GB2312" w:eastAsia="仿宋_GB2312" w:cs="仿宋_GB2312"/>
                <w:snapToGrid w:val="0"/>
                <w:color w:val="000000"/>
                <w:kern w:val="2"/>
                <w:sz w:val="24"/>
                <w:szCs w:val="24"/>
                <w:lang w:val="en-US" w:eastAsia="zh-CN" w:bidi="ar-SA"/>
              </w:rPr>
              <w:t>1.</w:t>
            </w:r>
            <w:r>
              <w:rPr>
                <w:rFonts w:hint="eastAsia" w:ascii="仿宋_GB2312" w:hAnsi="仿宋_GB2312" w:eastAsia="仿宋_GB2312" w:cs="仿宋_GB2312"/>
                <w:snapToGrid w:val="0"/>
                <w:color w:val="000000"/>
                <w:sz w:val="24"/>
                <w:szCs w:val="24"/>
                <w:lang w:eastAsia="zh-CN"/>
              </w:rPr>
              <w:t>有明确的总体服务体系设计;</w:t>
            </w:r>
            <w:r>
              <w:rPr>
                <w:rFonts w:hint="default" w:ascii="仿宋_GB2312" w:hAnsi="仿宋_GB2312" w:eastAsia="仿宋_GB2312" w:cs="仿宋_GB2312"/>
                <w:snapToGrid w:val="0"/>
                <w:color w:val="000000"/>
                <w:kern w:val="2"/>
                <w:sz w:val="24"/>
                <w:szCs w:val="24"/>
                <w:lang w:val="en-US" w:eastAsia="en-US" w:bidi="ar-SA"/>
              </w:rPr>
              <w:t>2.</w:t>
            </w:r>
            <w:r>
              <w:rPr>
                <w:rFonts w:hint="eastAsia" w:ascii="仿宋_GB2312" w:hAnsi="仿宋_GB2312" w:eastAsia="仿宋_GB2312" w:cs="仿宋_GB2312"/>
                <w:snapToGrid w:val="0"/>
                <w:color w:val="000000"/>
                <w:sz w:val="24"/>
                <w:szCs w:val="24"/>
                <w:lang w:eastAsia="en-US"/>
              </w:rPr>
              <w:t>安全巡检;</w:t>
            </w:r>
            <w:r>
              <w:rPr>
                <w:rFonts w:hint="default" w:ascii="仿宋_GB2312" w:hAnsi="仿宋_GB2312" w:eastAsia="仿宋_GB2312" w:cs="仿宋_GB2312"/>
                <w:snapToGrid w:val="0"/>
                <w:color w:val="000000"/>
                <w:kern w:val="2"/>
                <w:sz w:val="24"/>
                <w:szCs w:val="24"/>
                <w:lang w:val="en-US" w:eastAsia="en-US" w:bidi="ar-SA"/>
              </w:rPr>
              <w:t>3.</w:t>
            </w:r>
            <w:r>
              <w:rPr>
                <w:rFonts w:hint="eastAsia" w:ascii="仿宋_GB2312" w:hAnsi="仿宋_GB2312" w:eastAsia="仿宋_GB2312" w:cs="仿宋_GB2312"/>
                <w:snapToGrid w:val="0"/>
                <w:color w:val="000000"/>
                <w:sz w:val="24"/>
                <w:szCs w:val="24"/>
                <w:lang w:eastAsia="en-US"/>
              </w:rPr>
              <w:t>安全配置评估;</w:t>
            </w:r>
            <w:r>
              <w:rPr>
                <w:rFonts w:hint="default" w:ascii="仿宋_GB2312" w:hAnsi="仿宋_GB2312" w:eastAsia="仿宋_GB2312" w:cs="仿宋_GB2312"/>
                <w:snapToGrid w:val="0"/>
                <w:color w:val="000000"/>
                <w:kern w:val="2"/>
                <w:sz w:val="24"/>
                <w:szCs w:val="24"/>
                <w:lang w:val="en-US" w:eastAsia="en-US" w:bidi="ar-SA"/>
              </w:rPr>
              <w:t>4.</w:t>
            </w:r>
            <w:r>
              <w:rPr>
                <w:rFonts w:hint="eastAsia" w:ascii="仿宋_GB2312" w:hAnsi="仿宋_GB2312" w:eastAsia="仿宋_GB2312" w:cs="仿宋_GB2312"/>
                <w:snapToGrid w:val="0"/>
                <w:color w:val="000000"/>
                <w:sz w:val="24"/>
                <w:szCs w:val="24"/>
                <w:lang w:eastAsia="en-US"/>
              </w:rPr>
              <w:t>安全日志分析;</w:t>
            </w:r>
            <w:r>
              <w:rPr>
                <w:rFonts w:hint="default" w:ascii="仿宋_GB2312" w:hAnsi="仿宋_GB2312" w:eastAsia="仿宋_GB2312" w:cs="仿宋_GB2312"/>
                <w:snapToGrid w:val="0"/>
                <w:color w:val="000000"/>
                <w:kern w:val="2"/>
                <w:sz w:val="24"/>
                <w:szCs w:val="24"/>
                <w:lang w:val="en-US" w:eastAsia="en-US" w:bidi="ar-SA"/>
              </w:rPr>
              <w:t>5.</w:t>
            </w:r>
            <w:r>
              <w:rPr>
                <w:rFonts w:hint="eastAsia" w:ascii="仿宋_GB2312" w:hAnsi="仿宋_GB2312" w:eastAsia="仿宋_GB2312" w:cs="仿宋_GB2312"/>
                <w:snapToGrid w:val="0"/>
                <w:color w:val="000000"/>
                <w:sz w:val="24"/>
                <w:szCs w:val="24"/>
                <w:lang w:eastAsia="en-US"/>
              </w:rPr>
              <w:t>应急演练;</w:t>
            </w:r>
            <w:r>
              <w:rPr>
                <w:rFonts w:hint="default" w:ascii="仿宋_GB2312" w:hAnsi="仿宋_GB2312" w:eastAsia="仿宋_GB2312" w:cs="仿宋_GB2312"/>
                <w:snapToGrid w:val="0"/>
                <w:color w:val="000000"/>
                <w:kern w:val="2"/>
                <w:sz w:val="24"/>
                <w:szCs w:val="24"/>
                <w:lang w:val="en-US" w:eastAsia="en-US" w:bidi="ar-SA"/>
              </w:rPr>
              <w:t>6.</w:t>
            </w:r>
            <w:r>
              <w:rPr>
                <w:rFonts w:hint="eastAsia" w:ascii="仿宋_GB2312" w:hAnsi="仿宋_GB2312" w:eastAsia="仿宋_GB2312" w:cs="仿宋_GB2312"/>
                <w:snapToGrid w:val="0"/>
                <w:color w:val="000000"/>
                <w:sz w:val="24"/>
                <w:szCs w:val="24"/>
                <w:lang w:eastAsia="en-US"/>
              </w:rPr>
              <w:t>恶意样本分析;</w:t>
            </w:r>
            <w:r>
              <w:rPr>
                <w:rFonts w:hint="default" w:ascii="仿宋_GB2312" w:hAnsi="仿宋_GB2312" w:eastAsia="仿宋_GB2312" w:cs="仿宋_GB2312"/>
                <w:snapToGrid w:val="0"/>
                <w:color w:val="000000"/>
                <w:kern w:val="2"/>
                <w:sz w:val="24"/>
                <w:szCs w:val="24"/>
                <w:lang w:val="en-US" w:eastAsia="zh-CN" w:bidi="ar-SA"/>
              </w:rPr>
              <w:t>7.</w:t>
            </w:r>
            <w:r>
              <w:rPr>
                <w:rFonts w:hint="eastAsia" w:ascii="仿宋_GB2312" w:hAnsi="仿宋_GB2312" w:eastAsia="仿宋_GB2312" w:cs="仿宋_GB2312"/>
                <w:snapToGrid w:val="0"/>
                <w:color w:val="000000"/>
                <w:sz w:val="24"/>
                <w:szCs w:val="24"/>
                <w:lang w:eastAsia="zh-CN"/>
              </w:rPr>
              <w:t>本地化安全服务应急支撑;</w:t>
            </w:r>
            <w:r>
              <w:rPr>
                <w:rFonts w:hint="default" w:ascii="仿宋_GB2312" w:hAnsi="仿宋_GB2312" w:eastAsia="仿宋_GB2312" w:cs="仿宋_GB2312"/>
                <w:snapToGrid w:val="0"/>
                <w:color w:val="000000"/>
                <w:kern w:val="2"/>
                <w:sz w:val="24"/>
                <w:szCs w:val="24"/>
                <w:lang w:val="en-US" w:eastAsia="en-US" w:bidi="ar-SA"/>
              </w:rPr>
              <w:t>8.</w:t>
            </w:r>
            <w:r>
              <w:rPr>
                <w:rFonts w:hint="eastAsia" w:ascii="仿宋_GB2312" w:hAnsi="仿宋_GB2312" w:eastAsia="仿宋_GB2312" w:cs="仿宋_GB2312"/>
                <w:snapToGrid w:val="0"/>
                <w:color w:val="000000"/>
                <w:sz w:val="24"/>
                <w:szCs w:val="24"/>
                <w:lang w:eastAsia="en-US"/>
              </w:rPr>
              <w:t>互联网风险检查;</w:t>
            </w:r>
            <w:r>
              <w:rPr>
                <w:rFonts w:hint="default" w:ascii="仿宋_GB2312" w:hAnsi="仿宋_GB2312" w:eastAsia="仿宋_GB2312" w:cs="仿宋_GB2312"/>
                <w:snapToGrid w:val="0"/>
                <w:color w:val="000000"/>
                <w:kern w:val="2"/>
                <w:sz w:val="24"/>
                <w:szCs w:val="24"/>
                <w:lang w:val="en-US" w:eastAsia="en-US" w:bidi="ar-SA"/>
              </w:rPr>
              <w:t>9.</w:t>
            </w:r>
            <w:r>
              <w:rPr>
                <w:rFonts w:hint="eastAsia" w:ascii="仿宋_GB2312" w:hAnsi="仿宋_GB2312" w:eastAsia="仿宋_GB2312" w:cs="仿宋_GB2312"/>
                <w:snapToGrid w:val="0"/>
                <w:color w:val="000000"/>
                <w:sz w:val="24"/>
                <w:szCs w:val="24"/>
                <w:lang w:eastAsia="en-US"/>
              </w:rPr>
              <w:t>互联网攻击诱捕;</w:t>
            </w:r>
            <w:r>
              <w:rPr>
                <w:rFonts w:hint="default" w:ascii="仿宋_GB2312" w:hAnsi="仿宋_GB2312" w:eastAsia="仿宋_GB2312" w:cs="仿宋_GB2312"/>
                <w:snapToGrid w:val="0"/>
                <w:color w:val="000000"/>
                <w:kern w:val="2"/>
                <w:sz w:val="24"/>
                <w:szCs w:val="24"/>
                <w:lang w:val="en-US" w:eastAsia="en-US" w:bidi="ar-SA"/>
              </w:rPr>
              <w:t>10.</w:t>
            </w:r>
            <w:r>
              <w:rPr>
                <w:rFonts w:hint="eastAsia" w:ascii="仿宋_GB2312" w:hAnsi="仿宋_GB2312" w:eastAsia="仿宋_GB2312" w:cs="仿宋_GB2312"/>
                <w:snapToGrid w:val="0"/>
                <w:color w:val="000000"/>
                <w:sz w:val="24"/>
                <w:szCs w:val="24"/>
                <w:lang w:eastAsia="en-US"/>
              </w:rPr>
              <w:t>互联网实时安全检测;</w:t>
            </w:r>
            <w:r>
              <w:rPr>
                <w:rFonts w:hint="default" w:ascii="仿宋_GB2312" w:hAnsi="仿宋_GB2312" w:eastAsia="仿宋_GB2312" w:cs="仿宋_GB2312"/>
                <w:snapToGrid w:val="0"/>
                <w:color w:val="000000"/>
                <w:kern w:val="2"/>
                <w:sz w:val="24"/>
                <w:szCs w:val="24"/>
                <w:lang w:val="en-US" w:eastAsia="en-US" w:bidi="ar-SA"/>
              </w:rPr>
              <w:t>11.</w:t>
            </w:r>
            <w:r>
              <w:rPr>
                <w:rFonts w:hint="eastAsia" w:ascii="仿宋_GB2312" w:hAnsi="仿宋_GB2312" w:eastAsia="仿宋_GB2312" w:cs="仿宋_GB2312"/>
                <w:snapToGrid w:val="0"/>
                <w:color w:val="000000"/>
                <w:sz w:val="24"/>
                <w:szCs w:val="24"/>
                <w:lang w:eastAsia="en-US"/>
              </w:rPr>
              <w:t>安全监测;</w:t>
            </w:r>
            <w:r>
              <w:rPr>
                <w:rFonts w:hint="default" w:ascii="仿宋_GB2312" w:hAnsi="仿宋_GB2312" w:eastAsia="仿宋_GB2312" w:cs="仿宋_GB2312"/>
                <w:snapToGrid w:val="0"/>
                <w:color w:val="000000"/>
                <w:kern w:val="2"/>
                <w:sz w:val="24"/>
                <w:szCs w:val="24"/>
                <w:lang w:val="en-US" w:eastAsia="en-US" w:bidi="ar-SA"/>
              </w:rPr>
              <w:t>12.</w:t>
            </w:r>
            <w:r>
              <w:rPr>
                <w:rFonts w:hint="eastAsia" w:ascii="仿宋_GB2312" w:hAnsi="仿宋_GB2312" w:eastAsia="仿宋_GB2312" w:cs="仿宋_GB2312"/>
                <w:snapToGrid w:val="0"/>
                <w:color w:val="000000"/>
                <w:sz w:val="24"/>
                <w:szCs w:val="24"/>
                <w:lang w:eastAsia="en-US"/>
              </w:rPr>
              <w:t>渗透性测试;</w:t>
            </w:r>
            <w:r>
              <w:rPr>
                <w:rFonts w:hint="default" w:ascii="仿宋_GB2312" w:hAnsi="仿宋_GB2312" w:eastAsia="仿宋_GB2312" w:cs="仿宋_GB2312"/>
                <w:snapToGrid w:val="0"/>
                <w:color w:val="000000"/>
                <w:kern w:val="2"/>
                <w:sz w:val="24"/>
                <w:szCs w:val="24"/>
                <w:lang w:val="en-US" w:eastAsia="en-US" w:bidi="ar-SA"/>
              </w:rPr>
              <w:t>13.</w:t>
            </w:r>
            <w:r>
              <w:rPr>
                <w:rFonts w:hint="eastAsia" w:ascii="仿宋_GB2312" w:hAnsi="仿宋_GB2312" w:eastAsia="仿宋_GB2312" w:cs="仿宋_GB2312"/>
                <w:snapToGrid w:val="0"/>
                <w:color w:val="000000"/>
                <w:sz w:val="24"/>
                <w:szCs w:val="24"/>
                <w:lang w:eastAsia="en-US"/>
              </w:rPr>
              <w:t>漏洞评估及管理;</w:t>
            </w:r>
            <w:r>
              <w:rPr>
                <w:rFonts w:hint="default" w:ascii="仿宋_GB2312" w:hAnsi="仿宋_GB2312" w:eastAsia="仿宋_GB2312" w:cs="仿宋_GB2312"/>
                <w:snapToGrid w:val="0"/>
                <w:color w:val="000000"/>
                <w:kern w:val="2"/>
                <w:sz w:val="24"/>
                <w:szCs w:val="24"/>
                <w:lang w:val="en-US" w:eastAsia="en-US" w:bidi="ar-SA"/>
              </w:rPr>
              <w:t>14.</w:t>
            </w:r>
            <w:r>
              <w:rPr>
                <w:rFonts w:hint="eastAsia" w:ascii="仿宋_GB2312" w:hAnsi="仿宋_GB2312" w:eastAsia="仿宋_GB2312" w:cs="仿宋_GB2312"/>
                <w:snapToGrid w:val="0"/>
                <w:color w:val="000000"/>
                <w:sz w:val="24"/>
                <w:szCs w:val="24"/>
                <w:lang w:eastAsia="en-US"/>
              </w:rPr>
              <w:t>安全保障;</w:t>
            </w:r>
            <w:r>
              <w:rPr>
                <w:rFonts w:hint="default" w:ascii="仿宋_GB2312" w:hAnsi="仿宋_GB2312" w:eastAsia="仿宋_GB2312" w:cs="仿宋_GB2312"/>
                <w:snapToGrid w:val="0"/>
                <w:color w:val="000000"/>
                <w:kern w:val="2"/>
                <w:sz w:val="24"/>
                <w:szCs w:val="24"/>
                <w:lang w:val="en-US" w:eastAsia="en-US" w:bidi="ar-SA"/>
              </w:rPr>
              <w:t>15.</w:t>
            </w:r>
            <w:r>
              <w:rPr>
                <w:rFonts w:hint="eastAsia" w:ascii="仿宋_GB2312" w:hAnsi="仿宋_GB2312" w:eastAsia="仿宋_GB2312" w:cs="仿宋_GB2312"/>
                <w:snapToGrid w:val="0"/>
                <w:color w:val="000000"/>
                <w:sz w:val="24"/>
                <w:szCs w:val="24"/>
                <w:lang w:eastAsia="en-US"/>
              </w:rPr>
              <w:t>应急响应;</w:t>
            </w:r>
            <w:r>
              <w:rPr>
                <w:rFonts w:hint="default" w:ascii="仿宋_GB2312" w:hAnsi="仿宋_GB2312" w:eastAsia="仿宋_GB2312" w:cs="仿宋_GB2312"/>
                <w:snapToGrid w:val="0"/>
                <w:color w:val="000000"/>
                <w:kern w:val="2"/>
                <w:sz w:val="24"/>
                <w:szCs w:val="24"/>
                <w:lang w:val="en-US" w:eastAsia="en-US" w:bidi="ar-SA"/>
              </w:rPr>
              <w:t>16.</w:t>
            </w:r>
            <w:r>
              <w:rPr>
                <w:rFonts w:hint="eastAsia" w:ascii="仿宋_GB2312" w:hAnsi="仿宋_GB2312" w:eastAsia="仿宋_GB2312" w:cs="仿宋_GB2312"/>
                <w:snapToGrid w:val="0"/>
                <w:color w:val="000000"/>
                <w:sz w:val="24"/>
                <w:szCs w:val="24"/>
                <w:lang w:eastAsia="en-US"/>
              </w:rPr>
              <w:t>安全加固;</w:t>
            </w:r>
            <w:r>
              <w:rPr>
                <w:rFonts w:hint="default" w:ascii="仿宋_GB2312" w:hAnsi="仿宋_GB2312" w:eastAsia="仿宋_GB2312" w:cs="仿宋_GB2312"/>
                <w:snapToGrid w:val="0"/>
                <w:color w:val="000000"/>
                <w:kern w:val="2"/>
                <w:sz w:val="24"/>
                <w:szCs w:val="24"/>
                <w:lang w:val="en-US" w:eastAsia="en-US" w:bidi="ar-SA"/>
              </w:rPr>
              <w:t>17.</w:t>
            </w:r>
            <w:r>
              <w:rPr>
                <w:rFonts w:hint="eastAsia" w:ascii="仿宋_GB2312" w:hAnsi="仿宋_GB2312" w:eastAsia="仿宋_GB2312" w:cs="仿宋_GB2312"/>
                <w:snapToGrid w:val="0"/>
                <w:color w:val="000000"/>
                <w:sz w:val="24"/>
                <w:szCs w:val="24"/>
                <w:lang w:eastAsia="en-US"/>
              </w:rPr>
              <w:t>漏洞扫描;</w:t>
            </w:r>
            <w:r>
              <w:rPr>
                <w:rFonts w:hint="default" w:ascii="仿宋_GB2312" w:hAnsi="仿宋_GB2312" w:eastAsia="仿宋_GB2312" w:cs="仿宋_GB2312"/>
                <w:snapToGrid w:val="0"/>
                <w:color w:val="000000"/>
                <w:kern w:val="2"/>
                <w:sz w:val="24"/>
                <w:szCs w:val="24"/>
                <w:lang w:val="en-US" w:eastAsia="en-US" w:bidi="ar-SA"/>
              </w:rPr>
              <w:t>18.</w:t>
            </w:r>
            <w:r>
              <w:rPr>
                <w:rFonts w:hint="eastAsia" w:ascii="仿宋_GB2312" w:hAnsi="仿宋_GB2312" w:eastAsia="仿宋_GB2312" w:cs="仿宋_GB2312"/>
                <w:snapToGrid w:val="0"/>
                <w:color w:val="000000"/>
                <w:sz w:val="24"/>
                <w:szCs w:val="24"/>
                <w:lang w:eastAsia="en-US"/>
              </w:rPr>
              <w:t>电子司法取证。</w:t>
            </w:r>
          </w:p>
          <w:p w14:paraId="26AE62F7">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auto"/>
                <w:sz w:val="24"/>
                <w:szCs w:val="24"/>
                <w:lang w:eastAsia="zh-CN"/>
              </w:rPr>
              <w:t>针对以上内容，根据内容思路清晰程度、内容完整程度、科学合理程度进行评价，</w:t>
            </w:r>
            <w:r>
              <w:rPr>
                <w:rFonts w:hint="eastAsia" w:ascii="仿宋_GB2312" w:hAnsi="仿宋_GB2312" w:eastAsia="仿宋_GB2312" w:cs="仿宋_GB2312"/>
                <w:snapToGrid w:val="0"/>
                <w:color w:val="auto"/>
                <w:sz w:val="24"/>
                <w:szCs w:val="24"/>
                <w:lang w:val="en-US" w:eastAsia="zh-CN"/>
              </w:rPr>
              <w:t>每有以项得一分</w:t>
            </w:r>
            <w:r>
              <w:rPr>
                <w:rFonts w:hint="eastAsia" w:ascii="仿宋_GB2312" w:hAnsi="仿宋_GB2312" w:eastAsia="仿宋_GB2312" w:cs="仿宋_GB2312"/>
                <w:snapToGrid w:val="0"/>
                <w:color w:val="auto"/>
                <w:sz w:val="24"/>
                <w:szCs w:val="24"/>
                <w:lang w:eastAsia="zh-CN"/>
              </w:rPr>
              <w:t>，不提供不得分，总分为18分。</w:t>
            </w:r>
          </w:p>
        </w:tc>
      </w:tr>
      <w:tr w14:paraId="16F6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83" w:hRule="atLeast"/>
        </w:trPr>
        <w:tc>
          <w:tcPr>
            <w:tcW w:w="640" w:type="pct"/>
            <w:gridSpan w:val="2"/>
            <w:vMerge w:val="continue"/>
          </w:tcPr>
          <w:p w14:paraId="1BCF0AAF">
            <w:pPr>
              <w:spacing w:after="160"/>
              <w:rPr>
                <w:rFonts w:hint="eastAsia" w:ascii="仿宋_GB2312" w:hAnsi="仿宋_GB2312" w:eastAsia="仿宋_GB2312" w:cs="仿宋_GB2312"/>
                <w:snapToGrid w:val="0"/>
                <w:color w:val="000000"/>
                <w:sz w:val="24"/>
                <w:szCs w:val="24"/>
                <w:lang w:eastAsia="zh-CN"/>
              </w:rPr>
            </w:pPr>
          </w:p>
        </w:tc>
        <w:tc>
          <w:tcPr>
            <w:tcW w:w="715" w:type="pct"/>
            <w:tcBorders>
              <w:bottom w:val="single" w:color="auto" w:sz="4" w:space="0"/>
            </w:tcBorders>
          </w:tcPr>
          <w:p w14:paraId="70D990FF">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质量及进度控制(6分)</w:t>
            </w:r>
          </w:p>
        </w:tc>
        <w:tc>
          <w:tcPr>
            <w:tcW w:w="3641" w:type="pct"/>
            <w:tcBorders>
              <w:bottom w:val="single" w:color="auto" w:sz="4" w:space="0"/>
            </w:tcBorders>
          </w:tcPr>
          <w:p w14:paraId="659C7408">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1.质量控制：提供质量控制措施，包括但不限于人员控制、设备工具控制、测试方法控制、测试环境控制。（3分）</w:t>
            </w:r>
          </w:p>
          <w:p w14:paraId="5BA65420">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eastAsia="zh-CN"/>
              </w:rPr>
              <w:t>2.进度控制：测试周期满足用户要求，工作进度安排合理，测试进度控制措施详细具体且针对性强。</w:t>
            </w:r>
            <w:r>
              <w:rPr>
                <w:rFonts w:hint="eastAsia" w:ascii="仿宋_GB2312" w:hAnsi="仿宋_GB2312" w:eastAsia="仿宋_GB2312" w:cs="仿宋_GB2312"/>
                <w:snapToGrid w:val="0"/>
                <w:color w:val="auto"/>
                <w:sz w:val="24"/>
                <w:szCs w:val="24"/>
                <w:lang w:eastAsia="en-US"/>
              </w:rPr>
              <w:t>（3分）</w:t>
            </w:r>
          </w:p>
          <w:p w14:paraId="264E1620">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eastAsia="zh-CN"/>
              </w:rPr>
              <w:t>针对以上</w:t>
            </w:r>
            <w:r>
              <w:rPr>
                <w:rFonts w:hint="eastAsia" w:ascii="仿宋_GB2312" w:hAnsi="仿宋_GB2312" w:eastAsia="仿宋_GB2312" w:cs="仿宋_GB2312"/>
                <w:snapToGrid w:val="0"/>
                <w:color w:val="auto"/>
                <w:sz w:val="24"/>
                <w:szCs w:val="24"/>
                <w:lang w:val="en-US" w:eastAsia="zh-CN"/>
              </w:rPr>
              <w:t>各</w:t>
            </w:r>
            <w:r>
              <w:rPr>
                <w:rFonts w:hint="eastAsia" w:ascii="仿宋_GB2312" w:hAnsi="仿宋_GB2312" w:eastAsia="仿宋_GB2312" w:cs="仿宋_GB2312"/>
                <w:snapToGrid w:val="0"/>
                <w:color w:val="auto"/>
                <w:sz w:val="24"/>
                <w:szCs w:val="24"/>
                <w:lang w:eastAsia="zh-CN"/>
              </w:rPr>
              <w:t>条，方案合理、全面完整、明晰、切实可行，得3分；较合理、较全面整、较明晰，得</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分；较笼统，不完整，合理性一般，得</w:t>
            </w:r>
            <w:r>
              <w:rPr>
                <w:rFonts w:hint="eastAsia" w:ascii="仿宋_GB2312" w:hAnsi="仿宋_GB2312" w:eastAsia="仿宋_GB2312" w:cs="仿宋_GB2312"/>
                <w:snapToGrid w:val="0"/>
                <w:color w:val="auto"/>
                <w:sz w:val="24"/>
                <w:szCs w:val="24"/>
                <w:lang w:val="en-US" w:eastAsia="zh-CN"/>
              </w:rPr>
              <w:t>1</w:t>
            </w:r>
            <w:r>
              <w:rPr>
                <w:rFonts w:hint="eastAsia" w:ascii="仿宋_GB2312" w:hAnsi="仿宋_GB2312" w:eastAsia="仿宋_GB2312" w:cs="仿宋_GB2312"/>
                <w:snapToGrid w:val="0"/>
                <w:color w:val="auto"/>
                <w:sz w:val="24"/>
                <w:szCs w:val="24"/>
                <w:lang w:eastAsia="zh-CN"/>
              </w:rPr>
              <w:t>分；未提供或提供无相关内容，不得分。</w:t>
            </w:r>
          </w:p>
        </w:tc>
      </w:tr>
      <w:tr w14:paraId="5252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6" w:hRule="atLeast"/>
        </w:trPr>
        <w:tc>
          <w:tcPr>
            <w:tcW w:w="640" w:type="pct"/>
            <w:gridSpan w:val="2"/>
            <w:vMerge w:val="continue"/>
          </w:tcPr>
          <w:p w14:paraId="7E0BBB9B">
            <w:pPr>
              <w:spacing w:after="160"/>
              <w:rPr>
                <w:rFonts w:hint="eastAsia" w:ascii="仿宋_GB2312" w:hAnsi="仿宋_GB2312" w:eastAsia="仿宋_GB2312" w:cs="仿宋_GB2312"/>
                <w:snapToGrid w:val="0"/>
                <w:color w:val="000000"/>
                <w:sz w:val="24"/>
                <w:szCs w:val="24"/>
                <w:lang w:eastAsia="en-US"/>
              </w:rPr>
            </w:pPr>
          </w:p>
        </w:tc>
        <w:tc>
          <w:tcPr>
            <w:tcW w:w="715" w:type="pct"/>
            <w:tcBorders>
              <w:top w:val="single" w:color="auto" w:sz="4" w:space="0"/>
              <w:bottom w:val="single" w:color="auto" w:sz="4" w:space="0"/>
              <w:right w:val="single" w:color="auto" w:sz="4" w:space="0"/>
            </w:tcBorders>
          </w:tcPr>
          <w:p w14:paraId="7A057C8B">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售后服务(4.0分)</w:t>
            </w:r>
          </w:p>
        </w:tc>
        <w:tc>
          <w:tcPr>
            <w:tcW w:w="3641" w:type="pct"/>
            <w:tcBorders>
              <w:top w:val="single" w:color="auto" w:sz="4" w:space="0"/>
              <w:left w:val="single" w:color="auto" w:sz="4" w:space="0"/>
              <w:bottom w:val="single" w:color="auto" w:sz="4" w:space="0"/>
              <w:right w:val="single" w:color="auto" w:sz="4" w:space="0"/>
            </w:tcBorders>
          </w:tcPr>
          <w:p w14:paraId="03BE7A3F">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根据采购需求，视投标人采取的售后服务方案，综合评定。内容包括但不限于以下内容：</w:t>
            </w:r>
          </w:p>
          <w:p w14:paraId="535F90F9">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1.售后服务承诺和售后服务能力（2分）；</w:t>
            </w:r>
          </w:p>
          <w:p w14:paraId="2550FFF9">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2.售后服务团队，提供联系人、联系方式、售后服务地点等信息（2分）。</w:t>
            </w:r>
          </w:p>
          <w:p w14:paraId="61E96845">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针对以上2项内容，根据每项内容思路清晰程度、内容完整程度、科学合理程度进行评价，得</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分；</w:t>
            </w:r>
            <w:r>
              <w:rPr>
                <w:rFonts w:hint="eastAsia" w:ascii="仿宋_GB2312" w:hAnsi="仿宋_GB2312" w:eastAsia="仿宋_GB2312" w:cs="仿宋_GB2312"/>
                <w:snapToGrid w:val="0"/>
                <w:color w:val="auto"/>
                <w:sz w:val="24"/>
                <w:szCs w:val="24"/>
                <w:lang w:val="en-US" w:eastAsia="zh-CN"/>
              </w:rPr>
              <w:t>内容</w:t>
            </w:r>
            <w:r>
              <w:rPr>
                <w:rFonts w:hint="eastAsia" w:ascii="仿宋_GB2312" w:hAnsi="仿宋_GB2312" w:eastAsia="仿宋_GB2312" w:cs="仿宋_GB2312"/>
                <w:snapToGrid w:val="0"/>
                <w:color w:val="auto"/>
                <w:sz w:val="24"/>
                <w:szCs w:val="24"/>
                <w:lang w:eastAsia="zh-CN"/>
              </w:rPr>
              <w:t>较笼统，不完整，合理性一般，得</w:t>
            </w:r>
            <w:r>
              <w:rPr>
                <w:rFonts w:hint="eastAsia" w:ascii="仿宋_GB2312" w:hAnsi="仿宋_GB2312" w:eastAsia="仿宋_GB2312" w:cs="仿宋_GB2312"/>
                <w:snapToGrid w:val="0"/>
                <w:color w:val="auto"/>
                <w:sz w:val="24"/>
                <w:szCs w:val="24"/>
                <w:lang w:val="en-US" w:eastAsia="zh-CN"/>
              </w:rPr>
              <w:t>1</w:t>
            </w:r>
            <w:r>
              <w:rPr>
                <w:rFonts w:hint="eastAsia" w:ascii="仿宋_GB2312" w:hAnsi="仿宋_GB2312" w:eastAsia="仿宋_GB2312" w:cs="仿宋_GB2312"/>
                <w:snapToGrid w:val="0"/>
                <w:color w:val="auto"/>
                <w:sz w:val="24"/>
                <w:szCs w:val="24"/>
                <w:lang w:eastAsia="zh-CN"/>
              </w:rPr>
              <w:t>分；不提供不得分。</w:t>
            </w:r>
          </w:p>
        </w:tc>
      </w:tr>
      <w:tr w14:paraId="7F86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6" w:hRule="atLeast"/>
        </w:trPr>
        <w:tc>
          <w:tcPr>
            <w:tcW w:w="640" w:type="pct"/>
            <w:gridSpan w:val="2"/>
            <w:vMerge w:val="continue"/>
          </w:tcPr>
          <w:p w14:paraId="31EE3E1B">
            <w:pPr>
              <w:spacing w:after="160"/>
              <w:rPr>
                <w:rFonts w:hint="eastAsia" w:ascii="仿宋_GB2312" w:hAnsi="仿宋_GB2312" w:eastAsia="仿宋_GB2312" w:cs="仿宋_GB2312"/>
                <w:snapToGrid w:val="0"/>
                <w:color w:val="000000"/>
                <w:sz w:val="24"/>
                <w:szCs w:val="24"/>
                <w:lang w:eastAsia="zh-CN"/>
              </w:rPr>
            </w:pPr>
          </w:p>
        </w:tc>
        <w:tc>
          <w:tcPr>
            <w:tcW w:w="715" w:type="pct"/>
            <w:tcBorders>
              <w:top w:val="single" w:color="auto" w:sz="4" w:space="0"/>
            </w:tcBorders>
            <w:vAlign w:val="center"/>
          </w:tcPr>
          <w:p w14:paraId="1BD14E94">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应急处理方案 (6分)</w:t>
            </w:r>
          </w:p>
        </w:tc>
        <w:tc>
          <w:tcPr>
            <w:tcW w:w="3641" w:type="pct"/>
            <w:tcBorders>
              <w:top w:val="single" w:color="auto" w:sz="4" w:space="0"/>
            </w:tcBorders>
          </w:tcPr>
          <w:p w14:paraId="42D781B8">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应急处理方案包含但不限于：</w:t>
            </w:r>
          </w:p>
          <w:p w14:paraId="12FED6CD">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1.体现安全服务过程中各种风险提示和安全注意事项（2分）；</w:t>
            </w:r>
          </w:p>
          <w:p w14:paraId="4CCB5632">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2.应急处理方案和应急响应的时间安排（2分）；</w:t>
            </w:r>
          </w:p>
          <w:p w14:paraId="53E55BA3">
            <w:pPr>
              <w:pStyle w:val="98"/>
              <w:spacing w:after="160"/>
              <w:rPr>
                <w:rFonts w:hint="eastAsia" w:ascii="仿宋_GB2312" w:hAnsi="仿宋_GB2312" w:eastAsia="仿宋_GB2312" w:cs="仿宋_GB2312"/>
                <w:snapToGrid w:val="0"/>
                <w:color w:val="auto"/>
                <w:spacing w:val="3"/>
                <w:sz w:val="24"/>
                <w:szCs w:val="24"/>
                <w:lang w:eastAsia="zh-CN"/>
              </w:rPr>
            </w:pPr>
            <w:r>
              <w:rPr>
                <w:rFonts w:hint="eastAsia" w:ascii="仿宋_GB2312" w:hAnsi="仿宋_GB2312" w:eastAsia="仿宋_GB2312" w:cs="仿宋_GB2312"/>
                <w:snapToGrid w:val="0"/>
                <w:color w:val="auto"/>
                <w:sz w:val="24"/>
                <w:szCs w:val="24"/>
                <w:lang w:eastAsia="zh-CN"/>
              </w:rPr>
              <w:t>3.应急响应</w:t>
            </w:r>
            <w:r>
              <w:rPr>
                <w:rFonts w:hint="eastAsia" w:ascii="仿宋_GB2312" w:hAnsi="仿宋_GB2312" w:eastAsia="仿宋_GB2312" w:cs="仿宋_GB2312"/>
                <w:snapToGrid w:val="0"/>
                <w:color w:val="auto"/>
                <w:spacing w:val="3"/>
                <w:sz w:val="24"/>
                <w:szCs w:val="24"/>
                <w:lang w:eastAsia="zh-CN"/>
              </w:rPr>
              <w:t>组织机构、人员安排、实施安排</w:t>
            </w:r>
            <w:r>
              <w:rPr>
                <w:rFonts w:hint="eastAsia" w:ascii="仿宋_GB2312" w:hAnsi="仿宋_GB2312" w:eastAsia="仿宋_GB2312" w:cs="仿宋_GB2312"/>
                <w:snapToGrid w:val="0"/>
                <w:color w:val="auto"/>
                <w:sz w:val="24"/>
                <w:szCs w:val="24"/>
                <w:lang w:eastAsia="zh-CN"/>
              </w:rPr>
              <w:t>（2分）</w:t>
            </w:r>
            <w:r>
              <w:rPr>
                <w:rFonts w:hint="eastAsia" w:ascii="仿宋_GB2312" w:hAnsi="仿宋_GB2312" w:eastAsia="仿宋_GB2312" w:cs="仿宋_GB2312"/>
                <w:snapToGrid w:val="0"/>
                <w:color w:val="auto"/>
                <w:spacing w:val="3"/>
                <w:sz w:val="24"/>
                <w:szCs w:val="24"/>
                <w:lang w:eastAsia="zh-CN"/>
              </w:rPr>
              <w:t>。</w:t>
            </w:r>
          </w:p>
          <w:p w14:paraId="35DD22A2">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针对以上</w:t>
            </w:r>
            <w:r>
              <w:rPr>
                <w:rFonts w:hint="eastAsia" w:ascii="仿宋_GB2312" w:hAnsi="仿宋_GB2312" w:eastAsia="仿宋_GB2312" w:cs="仿宋_GB2312"/>
                <w:snapToGrid w:val="0"/>
                <w:color w:val="auto"/>
                <w:sz w:val="24"/>
                <w:szCs w:val="24"/>
                <w:lang w:val="en-US" w:eastAsia="zh-CN"/>
              </w:rPr>
              <w:t>3</w:t>
            </w:r>
            <w:r>
              <w:rPr>
                <w:rFonts w:hint="eastAsia" w:ascii="仿宋_GB2312" w:hAnsi="仿宋_GB2312" w:eastAsia="仿宋_GB2312" w:cs="仿宋_GB2312"/>
                <w:snapToGrid w:val="0"/>
                <w:color w:val="auto"/>
                <w:sz w:val="24"/>
                <w:szCs w:val="24"/>
                <w:lang w:eastAsia="zh-CN"/>
              </w:rPr>
              <w:t>项内容，根据每项内容思路清晰程度、内容完整程度、科学合理程度进行评价，得</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分；</w:t>
            </w:r>
            <w:r>
              <w:rPr>
                <w:rFonts w:hint="eastAsia" w:ascii="仿宋_GB2312" w:hAnsi="仿宋_GB2312" w:eastAsia="仿宋_GB2312" w:cs="仿宋_GB2312"/>
                <w:snapToGrid w:val="0"/>
                <w:color w:val="auto"/>
                <w:sz w:val="24"/>
                <w:szCs w:val="24"/>
                <w:lang w:val="en-US" w:eastAsia="zh-CN"/>
              </w:rPr>
              <w:t>内容</w:t>
            </w:r>
            <w:r>
              <w:rPr>
                <w:rFonts w:hint="eastAsia" w:ascii="仿宋_GB2312" w:hAnsi="仿宋_GB2312" w:eastAsia="仿宋_GB2312" w:cs="仿宋_GB2312"/>
                <w:snapToGrid w:val="0"/>
                <w:color w:val="auto"/>
                <w:sz w:val="24"/>
                <w:szCs w:val="24"/>
                <w:lang w:eastAsia="zh-CN"/>
              </w:rPr>
              <w:t>较笼统，不完整，合理性一般，得</w:t>
            </w:r>
            <w:r>
              <w:rPr>
                <w:rFonts w:hint="eastAsia" w:ascii="仿宋_GB2312" w:hAnsi="仿宋_GB2312" w:eastAsia="仿宋_GB2312" w:cs="仿宋_GB2312"/>
                <w:snapToGrid w:val="0"/>
                <w:color w:val="auto"/>
                <w:sz w:val="24"/>
                <w:szCs w:val="24"/>
                <w:lang w:val="en-US" w:eastAsia="zh-CN"/>
              </w:rPr>
              <w:t>1</w:t>
            </w:r>
            <w:r>
              <w:rPr>
                <w:rFonts w:hint="eastAsia" w:ascii="仿宋_GB2312" w:hAnsi="仿宋_GB2312" w:eastAsia="仿宋_GB2312" w:cs="仿宋_GB2312"/>
                <w:snapToGrid w:val="0"/>
                <w:color w:val="auto"/>
                <w:sz w:val="24"/>
                <w:szCs w:val="24"/>
                <w:lang w:eastAsia="zh-CN"/>
              </w:rPr>
              <w:t>分；不提供不得分。</w:t>
            </w:r>
          </w:p>
        </w:tc>
      </w:tr>
      <w:tr w14:paraId="6C86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6" w:hRule="atLeast"/>
        </w:trPr>
        <w:tc>
          <w:tcPr>
            <w:tcW w:w="640" w:type="pct"/>
            <w:gridSpan w:val="2"/>
            <w:vMerge w:val="continue"/>
          </w:tcPr>
          <w:p w14:paraId="5EEA0B9E">
            <w:pPr>
              <w:spacing w:after="160"/>
              <w:rPr>
                <w:rFonts w:hint="eastAsia" w:ascii="仿宋_GB2312" w:hAnsi="仿宋_GB2312" w:eastAsia="仿宋_GB2312" w:cs="仿宋_GB2312"/>
                <w:snapToGrid w:val="0"/>
                <w:color w:val="000000"/>
                <w:sz w:val="24"/>
                <w:szCs w:val="24"/>
                <w:lang w:eastAsia="zh-CN"/>
              </w:rPr>
            </w:pPr>
          </w:p>
        </w:tc>
        <w:tc>
          <w:tcPr>
            <w:tcW w:w="715" w:type="pct"/>
            <w:tcBorders>
              <w:top w:val="single" w:color="auto" w:sz="4" w:space="0"/>
            </w:tcBorders>
            <w:vAlign w:val="center"/>
          </w:tcPr>
          <w:p w14:paraId="53CCA1E3">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应急处理能力 (6分)</w:t>
            </w:r>
          </w:p>
        </w:tc>
        <w:tc>
          <w:tcPr>
            <w:tcW w:w="3641" w:type="pct"/>
            <w:tcBorders>
              <w:top w:val="single" w:color="auto" w:sz="4" w:space="0"/>
            </w:tcBorders>
          </w:tcPr>
          <w:p w14:paraId="6C6B541C">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eastAsia="zh-CN"/>
              </w:rPr>
              <w:t>在服务期间，系统出现故障、网络安全、数据安全事件等情况时，对出现故障、网络安全以及数据安全等事件的信息系统以及对应的设备数据及关联数据进行分析、处置及鉴定能力，提供企业或人员相关证明材料的。</w:t>
            </w:r>
            <w:r>
              <w:rPr>
                <w:rFonts w:hint="eastAsia" w:ascii="仿宋_GB2312" w:hAnsi="仿宋_GB2312" w:eastAsia="仿宋_GB2312" w:cs="仿宋_GB2312"/>
                <w:snapToGrid w:val="0"/>
                <w:color w:val="auto"/>
                <w:sz w:val="24"/>
                <w:szCs w:val="24"/>
                <w:lang w:eastAsia="en-US"/>
              </w:rPr>
              <w:t>（6分）</w:t>
            </w:r>
          </w:p>
        </w:tc>
      </w:tr>
      <w:tr w14:paraId="3CCF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6" w:hRule="atLeast"/>
        </w:trPr>
        <w:tc>
          <w:tcPr>
            <w:tcW w:w="640" w:type="pct"/>
            <w:gridSpan w:val="2"/>
            <w:vMerge w:val="continue"/>
          </w:tcPr>
          <w:p w14:paraId="6496900D">
            <w:pPr>
              <w:spacing w:after="160"/>
              <w:rPr>
                <w:rFonts w:hint="eastAsia" w:ascii="仿宋_GB2312" w:hAnsi="仿宋_GB2312" w:eastAsia="仿宋_GB2312" w:cs="仿宋_GB2312"/>
                <w:snapToGrid w:val="0"/>
                <w:color w:val="000000"/>
                <w:sz w:val="24"/>
                <w:szCs w:val="24"/>
                <w:lang w:eastAsia="en-US"/>
              </w:rPr>
            </w:pPr>
          </w:p>
        </w:tc>
        <w:tc>
          <w:tcPr>
            <w:tcW w:w="715" w:type="pct"/>
            <w:tcBorders>
              <w:top w:val="nil"/>
            </w:tcBorders>
          </w:tcPr>
          <w:p w14:paraId="7F211E0F">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本地化服务（4分）</w:t>
            </w:r>
          </w:p>
        </w:tc>
        <w:tc>
          <w:tcPr>
            <w:tcW w:w="3641" w:type="pct"/>
            <w:tcBorders>
              <w:top w:val="nil"/>
            </w:tcBorders>
          </w:tcPr>
          <w:p w14:paraId="55DA8FE6">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投标人在本地有固定的常设服务机构，有常住的技术服务人员，本地化服务措施方便、完备；需提供房产证明或房屋租赁合同及技术人员名单及固定的联系电话，无本地化证明不得分。</w:t>
            </w:r>
          </w:p>
        </w:tc>
      </w:tr>
      <w:tr w14:paraId="09495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4" w:hRule="atLeast"/>
        </w:trPr>
        <w:tc>
          <w:tcPr>
            <w:tcW w:w="640" w:type="pct"/>
            <w:gridSpan w:val="2"/>
            <w:vMerge w:val="continue"/>
          </w:tcPr>
          <w:p w14:paraId="62F29AE9">
            <w:pPr>
              <w:spacing w:after="160"/>
              <w:rPr>
                <w:rFonts w:hint="eastAsia" w:ascii="仿宋_GB2312" w:hAnsi="仿宋_GB2312" w:eastAsia="仿宋_GB2312" w:cs="仿宋_GB2312"/>
                <w:snapToGrid w:val="0"/>
                <w:color w:val="000000"/>
                <w:sz w:val="24"/>
                <w:szCs w:val="24"/>
                <w:lang w:eastAsia="zh-CN"/>
              </w:rPr>
            </w:pPr>
          </w:p>
        </w:tc>
        <w:tc>
          <w:tcPr>
            <w:tcW w:w="715" w:type="pct"/>
            <w:vAlign w:val="center"/>
          </w:tcPr>
          <w:p w14:paraId="71FA4FBC">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检测工具</w:t>
            </w:r>
          </w:p>
          <w:p w14:paraId="102DB537">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（6分）</w:t>
            </w:r>
          </w:p>
        </w:tc>
        <w:tc>
          <w:tcPr>
            <w:tcW w:w="3641" w:type="pct"/>
          </w:tcPr>
          <w:p w14:paraId="4D72C61C">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投标方提供符合本项目检测要求的检测工具（或相应的功能模块）：</w:t>
            </w:r>
          </w:p>
          <w:p w14:paraId="633839FE">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1.系统漏洞检查工具（或功能模块）（1分）；</w:t>
            </w:r>
          </w:p>
          <w:p w14:paraId="7D465907">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2.Web安全检查工具（或功能模块）（1分）；</w:t>
            </w:r>
          </w:p>
          <w:p w14:paraId="39559E9D">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3.数据库安全检查工具（或功能模块）（1分）；</w:t>
            </w:r>
          </w:p>
          <w:p w14:paraId="7B1F5E8D">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4.服务器配置检查工具（或功能模块）（1分）；</w:t>
            </w:r>
          </w:p>
          <w:p w14:paraId="7B4AEAF8">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5.网络设备及安全设备配置检查工具（或功能模块）（1分）；</w:t>
            </w:r>
          </w:p>
          <w:p w14:paraId="47270387">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6.</w:t>
            </w:r>
            <w:r>
              <w:rPr>
                <w:rFonts w:hint="eastAsia" w:ascii="仿宋_GB2312" w:hAnsi="仿宋_GB2312" w:eastAsia="仿宋_GB2312" w:cs="仿宋_GB2312"/>
                <w:snapToGrid w:val="0"/>
                <w:color w:val="auto"/>
                <w:spacing w:val="3"/>
                <w:sz w:val="24"/>
                <w:szCs w:val="24"/>
                <w:lang w:eastAsia="zh-CN"/>
              </w:rPr>
              <w:t>主机安全漏洞扫描工具</w:t>
            </w:r>
            <w:r>
              <w:rPr>
                <w:rFonts w:hint="eastAsia" w:ascii="仿宋_GB2312" w:hAnsi="仿宋_GB2312" w:eastAsia="仿宋_GB2312" w:cs="仿宋_GB2312"/>
                <w:snapToGrid w:val="0"/>
                <w:color w:val="auto"/>
                <w:sz w:val="24"/>
                <w:szCs w:val="24"/>
                <w:lang w:eastAsia="zh-CN"/>
              </w:rPr>
              <w:t>（1分）。</w:t>
            </w:r>
          </w:p>
          <w:p w14:paraId="448DA6EB">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针对以上6项内容，根据每个检测工具（或功能模块）的自有证明材料或采购合同、每个检测工具功能（包括功能点、检测结果）截图，并加盖投标人公章，每有一个1分，不提供不得分，总分为6分。</w:t>
            </w:r>
          </w:p>
        </w:tc>
      </w:tr>
      <w:tr w14:paraId="6297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pct"/>
          <w:trHeight w:val="964" w:hRule="atLeast"/>
        </w:trPr>
        <w:tc>
          <w:tcPr>
            <w:tcW w:w="640" w:type="pct"/>
            <w:gridSpan w:val="2"/>
            <w:vMerge w:val="continue"/>
          </w:tcPr>
          <w:p w14:paraId="03BA1A59">
            <w:pPr>
              <w:spacing w:after="160"/>
              <w:rPr>
                <w:rFonts w:hint="eastAsia" w:ascii="仿宋_GB2312" w:hAnsi="仿宋_GB2312" w:eastAsia="仿宋_GB2312" w:cs="仿宋_GB2312"/>
                <w:snapToGrid w:val="0"/>
                <w:color w:val="000000"/>
                <w:sz w:val="24"/>
                <w:szCs w:val="24"/>
                <w:lang w:eastAsia="zh-CN"/>
              </w:rPr>
            </w:pPr>
          </w:p>
        </w:tc>
        <w:tc>
          <w:tcPr>
            <w:tcW w:w="715" w:type="pct"/>
          </w:tcPr>
          <w:p w14:paraId="1591719F">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投标人技术人员能力（1</w:t>
            </w:r>
            <w:r>
              <w:rPr>
                <w:rFonts w:hint="eastAsia" w:ascii="仿宋_GB2312" w:hAnsi="仿宋_GB2312" w:eastAsia="仿宋_GB2312" w:cs="仿宋_GB2312"/>
                <w:snapToGrid w:val="0"/>
                <w:color w:val="000000"/>
                <w:sz w:val="24"/>
                <w:szCs w:val="24"/>
                <w:lang w:val="en-US" w:eastAsia="zh-CN"/>
              </w:rPr>
              <w:t>0</w:t>
            </w:r>
            <w:r>
              <w:rPr>
                <w:rFonts w:hint="eastAsia" w:ascii="仿宋_GB2312" w:hAnsi="仿宋_GB2312" w:eastAsia="仿宋_GB2312" w:cs="仿宋_GB2312"/>
                <w:snapToGrid w:val="0"/>
                <w:color w:val="000000"/>
                <w:sz w:val="24"/>
                <w:szCs w:val="24"/>
                <w:lang w:eastAsia="zh-CN"/>
              </w:rPr>
              <w:t>.0分）</w:t>
            </w:r>
          </w:p>
        </w:tc>
        <w:tc>
          <w:tcPr>
            <w:tcW w:w="3641" w:type="pct"/>
          </w:tcPr>
          <w:p w14:paraId="07C09777">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1.质量负责人同时具备电子数据鉴定类相关证书以及数据安全工程师证书。（</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分）</w:t>
            </w:r>
          </w:p>
          <w:p w14:paraId="027F5446">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2.为本项目配备的人员具有国家互联网应急中心网络安全能力认证网络安全管理人员， 每提供1名得2分。（</w:t>
            </w:r>
            <w:r>
              <w:rPr>
                <w:rFonts w:hint="eastAsia"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eastAsia="zh-CN"/>
              </w:rPr>
              <w:t>分）</w:t>
            </w:r>
          </w:p>
          <w:p w14:paraId="69D0C311">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3.具备注册渗透测试工程师CISP-PTE，每提供1名得1分。（2分）</w:t>
            </w:r>
          </w:p>
          <w:p w14:paraId="08D84184">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4.具备数据安全工程师，每提供1名得1分。（4</w:t>
            </w:r>
            <w:r>
              <w:rPr>
                <w:rFonts w:hint="eastAsia" w:ascii="仿宋_GB2312" w:hAnsi="仿宋_GB2312" w:eastAsia="仿宋_GB2312" w:cs="仿宋_GB2312"/>
                <w:snapToGrid w:val="0"/>
                <w:color w:val="auto"/>
                <w:sz w:val="24"/>
                <w:szCs w:val="24"/>
                <w:lang w:val="en-US" w:eastAsia="zh-CN"/>
              </w:rPr>
              <w:t>分</w:t>
            </w:r>
            <w:r>
              <w:rPr>
                <w:rFonts w:hint="eastAsia" w:ascii="仿宋_GB2312" w:hAnsi="仿宋_GB2312" w:eastAsia="仿宋_GB2312" w:cs="仿宋_GB2312"/>
                <w:snapToGrid w:val="0"/>
                <w:color w:val="auto"/>
                <w:sz w:val="24"/>
                <w:szCs w:val="24"/>
                <w:lang w:eastAsia="zh-CN"/>
              </w:rPr>
              <w:t>）</w:t>
            </w:r>
          </w:p>
          <w:p w14:paraId="6B56235E">
            <w:pPr>
              <w:pStyle w:val="98"/>
              <w:spacing w:after="160"/>
              <w:rPr>
                <w:rFonts w:hint="eastAsia" w:ascii="仿宋_GB2312" w:hAnsi="仿宋_GB2312" w:eastAsia="仿宋_GB2312" w:cs="仿宋_GB2312"/>
                <w:snapToGrid w:val="0"/>
                <w:color w:val="auto"/>
                <w:sz w:val="24"/>
                <w:szCs w:val="24"/>
                <w:lang w:eastAsia="zh-CN"/>
              </w:rPr>
            </w:pPr>
            <w:r>
              <w:rPr>
                <w:rFonts w:hint="eastAsia" w:ascii="仿宋_GB2312" w:hAnsi="仿宋_GB2312" w:eastAsia="仿宋_GB2312" w:cs="仿宋_GB2312"/>
                <w:snapToGrid w:val="0"/>
                <w:color w:val="auto"/>
                <w:sz w:val="24"/>
                <w:szCs w:val="24"/>
                <w:lang w:eastAsia="zh-CN"/>
              </w:rPr>
              <w:t>注： 以上人员须同时提供证书及近半年内任意一个月缴纳社保的证明材料。</w:t>
            </w:r>
          </w:p>
        </w:tc>
      </w:tr>
      <w:tr w14:paraId="6413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29" w:type="pct"/>
            <w:vMerge w:val="restart"/>
            <w:tcBorders>
              <w:bottom w:val="nil"/>
            </w:tcBorders>
          </w:tcPr>
          <w:p w14:paraId="70B15546">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商务部分</w:t>
            </w:r>
          </w:p>
          <w:p w14:paraId="5E21635A">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(20.0分)</w:t>
            </w:r>
          </w:p>
        </w:tc>
        <w:tc>
          <w:tcPr>
            <w:tcW w:w="726" w:type="pct"/>
            <w:gridSpan w:val="2"/>
          </w:tcPr>
          <w:p w14:paraId="41ED5687">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业绩(10.0分)</w:t>
            </w:r>
          </w:p>
        </w:tc>
        <w:tc>
          <w:tcPr>
            <w:tcW w:w="3645" w:type="pct"/>
            <w:gridSpan w:val="2"/>
          </w:tcPr>
          <w:p w14:paraId="491D42EC">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近三年(2022年4月至投标截止日期止)在满足资格要求三份业绩的情况下每增加一个项目业绩合同得1分，最高得10分。(以合同原件彩色扫描件加盖公章为准)</w:t>
            </w:r>
          </w:p>
          <w:p w14:paraId="029D3553">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项目业绩合同：指网络安全服务案例)</w:t>
            </w:r>
          </w:p>
        </w:tc>
      </w:tr>
      <w:tr w14:paraId="529D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629" w:type="pct"/>
            <w:vMerge w:val="continue"/>
            <w:tcBorders>
              <w:top w:val="nil"/>
            </w:tcBorders>
          </w:tcPr>
          <w:p w14:paraId="5647AED4">
            <w:pPr>
              <w:spacing w:after="160"/>
              <w:rPr>
                <w:rFonts w:hint="eastAsia" w:ascii="仿宋_GB2312" w:hAnsi="仿宋_GB2312" w:eastAsia="仿宋_GB2312" w:cs="仿宋_GB2312"/>
                <w:snapToGrid w:val="0"/>
                <w:color w:val="000000"/>
                <w:sz w:val="24"/>
                <w:szCs w:val="24"/>
                <w:lang w:eastAsia="zh-CN"/>
              </w:rPr>
            </w:pPr>
          </w:p>
        </w:tc>
        <w:tc>
          <w:tcPr>
            <w:tcW w:w="726" w:type="pct"/>
            <w:gridSpan w:val="2"/>
          </w:tcPr>
          <w:p w14:paraId="170ACC9E">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企业能力(10.0分)</w:t>
            </w:r>
          </w:p>
        </w:tc>
        <w:tc>
          <w:tcPr>
            <w:tcW w:w="3645" w:type="pct"/>
            <w:gridSpan w:val="2"/>
          </w:tcPr>
          <w:p w14:paraId="1458757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1.供应商具备ITSS信息技术服务运行维护标准符合性证书，提供得2分，未提供不得分；</w:t>
            </w:r>
          </w:p>
          <w:p w14:paraId="209EDBDA">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2.供应商具备数据安全服务能力评定资格证书得2分，未提供不得分；</w:t>
            </w:r>
          </w:p>
          <w:p w14:paraId="09650594">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3.供应商具备数据安全服务能力验证证书 (结果为满意)得2分，未提供不得分；</w:t>
            </w:r>
          </w:p>
          <w:p w14:paraId="4AF3FF38">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4.供应商具备国家行政机关颁发检验检测机构资质认定证书（CMA证书）得2分，未提供不得分。</w:t>
            </w:r>
          </w:p>
          <w:p w14:paraId="0D92EAED">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5.具备中国信息安全测评中心颁发的《信息安全服务资质证书（安全工程类一级）》得2分，未提供不得分。</w:t>
            </w:r>
          </w:p>
          <w:p w14:paraId="0393A7E8">
            <w:pPr>
              <w:pStyle w:val="98"/>
              <w:spacing w:after="160"/>
              <w:rPr>
                <w:rFonts w:hint="eastAsia" w:ascii="仿宋_GB2312" w:hAnsi="仿宋_GB2312" w:eastAsia="仿宋_GB2312" w:cs="仿宋_GB2312"/>
                <w:snapToGrid w:val="0"/>
                <w:color w:val="000000"/>
                <w:sz w:val="24"/>
                <w:szCs w:val="24"/>
                <w:lang w:eastAsia="zh-CN"/>
              </w:rPr>
            </w:pPr>
          </w:p>
        </w:tc>
      </w:tr>
    </w:tbl>
    <w:p w14:paraId="689FA7ED">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1FF9A110">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8</w:t>
      </w:r>
      <w:r>
        <w:rPr>
          <w:rFonts w:hint="eastAsia" w:ascii="仿宋_GB2312" w:hAnsi="仿宋_GB2312" w:eastAsia="仿宋_GB2312" w:cs="仿宋_GB2312"/>
          <w:b/>
          <w:bCs w:val="0"/>
          <w:color w:val="auto"/>
          <w:sz w:val="24"/>
          <w:szCs w:val="24"/>
          <w:highlight w:val="none"/>
          <w:lang w:val="zh-CN"/>
        </w:rPr>
        <w:t>、评审指标构成</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.商务响应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auto"/>
          <w:sz w:val="24"/>
          <w:szCs w:val="24"/>
          <w:highlight w:val="none"/>
          <w:lang w:val="zh-CN"/>
        </w:rPr>
      </w:pP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经过有效性和符合性审核合格的供应商，对付款、交货、验收等方面有满足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此项目最高采购预算</w:t>
      </w:r>
      <w:r>
        <w:rPr>
          <w:rFonts w:hint="eastAsia" w:ascii="仿宋_GB2312" w:hAnsi="仿宋_GB2312" w:eastAsia="仿宋_GB2312" w:cs="仿宋_GB2312"/>
          <w:color w:val="auto"/>
          <w:sz w:val="24"/>
          <w:szCs w:val="24"/>
          <w:highlight w:val="none"/>
          <w:lang w:val="en-US" w:eastAsia="zh-CN"/>
        </w:rPr>
        <w:t>见磋商须知前附表</w:t>
      </w:r>
      <w:r>
        <w:rPr>
          <w:rFonts w:hint="eastAsia" w:ascii="仿宋_GB2312" w:hAnsi="仿宋_GB2312" w:eastAsia="仿宋_GB2312" w:cs="仿宋_GB2312"/>
          <w:color w:val="auto"/>
          <w:sz w:val="24"/>
          <w:szCs w:val="24"/>
          <w:highlight w:val="none"/>
        </w:rPr>
        <w:t>；超过此限价取消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-3、技术指标</w:t>
      </w:r>
    </w:p>
    <w:p w14:paraId="70263E3F">
      <w:pPr>
        <w:pStyle w:val="7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经过有效性和符合性审核合格的供应商，</w:t>
      </w:r>
      <w:r>
        <w:rPr>
          <w:rFonts w:hint="eastAsia"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rPr>
        <w:t>内容、技术要求、质量保证等</w:t>
      </w:r>
      <w:r>
        <w:rPr>
          <w:rFonts w:hint="eastAsia" w:ascii="仿宋_GB2312" w:hAnsi="仿宋_GB2312" w:eastAsia="仿宋_GB2312" w:cs="仿宋_GB2312"/>
          <w:color w:val="auto"/>
          <w:sz w:val="24"/>
          <w:szCs w:val="24"/>
          <w:highlight w:val="none"/>
          <w:lang w:val="en-US" w:eastAsia="zh-CN"/>
        </w:rPr>
        <w:t>进行评审</w:t>
      </w:r>
      <w:r>
        <w:rPr>
          <w:rFonts w:hint="eastAsia" w:ascii="仿宋_GB2312" w:hAnsi="仿宋_GB2312" w:eastAsia="仿宋_GB2312" w:cs="仿宋_GB2312"/>
          <w:color w:val="auto"/>
          <w:sz w:val="24"/>
          <w:szCs w:val="24"/>
          <w:highlight w:val="none"/>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小组根据以上内容进行符合性评审，对符合性评审合格的单位，依次进行</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报价，根据其</w:t>
      </w:r>
      <w:r>
        <w:rPr>
          <w:rFonts w:hint="eastAsia" w:ascii="仿宋_GB2312" w:hAnsi="仿宋_GB2312" w:eastAsia="仿宋_GB2312" w:cs="仿宋_GB2312"/>
          <w:color w:val="auto"/>
          <w:sz w:val="24"/>
          <w:szCs w:val="24"/>
          <w:highlight w:val="none"/>
          <w:lang w:val="en-US" w:eastAsia="zh-CN"/>
        </w:rPr>
        <w:t>第二轮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商务、技术综合评审，最后</w:t>
      </w:r>
      <w:r>
        <w:rPr>
          <w:rFonts w:hint="eastAsia" w:ascii="仿宋_GB2312" w:hAnsi="仿宋_GB2312" w:eastAsia="仿宋_GB2312" w:cs="仿宋_GB2312"/>
          <w:color w:val="auto"/>
          <w:sz w:val="24"/>
          <w:szCs w:val="24"/>
          <w:highlight w:val="none"/>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7" w:name="_Toc9489"/>
      <w:bookmarkStart w:id="58" w:name="_Toc24870"/>
      <w:r>
        <w:rPr>
          <w:rFonts w:hint="eastAsia" w:ascii="仿宋_GB2312" w:hAnsi="仿宋_GB2312" w:eastAsia="仿宋_GB2312" w:cs="仿宋_GB2312"/>
          <w:color w:val="auto"/>
          <w:sz w:val="24"/>
          <w:szCs w:val="24"/>
          <w:highlight w:val="none"/>
        </w:rPr>
        <w:t>八、确定成交单位</w:t>
      </w:r>
      <w:bookmarkEnd w:id="57"/>
      <w:bookmarkEnd w:id="58"/>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1、依据评审结果写出</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文件规定的有效期内，采购人在审查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结果报告的基础上确定成交单位，并复函</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9" w:name="_Toc3643"/>
      <w:bookmarkStart w:id="60" w:name="_Toc30531"/>
      <w:r>
        <w:rPr>
          <w:rFonts w:hint="eastAsia" w:ascii="仿宋_GB2312" w:hAnsi="仿宋_GB2312" w:eastAsia="仿宋_GB2312" w:cs="仿宋_GB2312"/>
          <w:color w:val="auto"/>
          <w:sz w:val="24"/>
          <w:szCs w:val="24"/>
          <w:highlight w:val="none"/>
        </w:rPr>
        <w:t>九、合同</w:t>
      </w:r>
      <w:bookmarkEnd w:id="59"/>
      <w:bookmarkEnd w:id="60"/>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成交单位确定后，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组织单位积极组织成交供应商与采购人洽谈合同条款，并签订合同。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及响应文件以及</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61" w:name="_Toc23918"/>
      <w:bookmarkStart w:id="62" w:name="_Toc13886"/>
      <w:r>
        <w:rPr>
          <w:rFonts w:hint="eastAsia" w:ascii="仿宋_GB2312" w:hAnsi="仿宋_GB2312" w:eastAsia="仿宋_GB2312" w:cs="仿宋_GB2312"/>
          <w:color w:val="auto"/>
          <w:sz w:val="24"/>
          <w:szCs w:val="24"/>
          <w:highlight w:val="none"/>
        </w:rPr>
        <w:t>十、其它</w:t>
      </w:r>
      <w:bookmarkEnd w:id="61"/>
      <w:bookmarkEnd w:id="62"/>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响应文件递交截止时间，递交的有效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响应文件不足三家时，经请示监督机构同意后，继续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3、特殊情况处理：当全部报价均超出财政预算限额或均低于公认的制作成本时，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小组有权决定是否进行第三次报价或本次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失败。若第三次报价仍超预算，采购人又无力追加，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小组可宣布本次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开始到成交单位确定前，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小组、采购单位及有关人员要严格遵循保密原则，任何一方不得向与评审无关的单位和人员透露与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auto"/>
          <w:sz w:val="28"/>
          <w:szCs w:val="28"/>
          <w:highlight w:val="none"/>
        </w:rPr>
      </w:pPr>
      <w:bookmarkStart w:id="63" w:name="_Toc11016"/>
    </w:p>
    <w:p w14:paraId="6AD545F3">
      <w:pPr>
        <w:pStyle w:val="29"/>
        <w:jc w:val="center"/>
        <w:rPr>
          <w:rFonts w:hint="eastAsia" w:ascii="仿宋_GB2312" w:hAnsi="仿宋_GB2312" w:eastAsia="仿宋_GB2312" w:cs="仿宋_GB2312"/>
          <w:b/>
          <w:bCs/>
          <w:color w:val="auto"/>
          <w:sz w:val="28"/>
          <w:szCs w:val="28"/>
          <w:highlight w:val="none"/>
        </w:rPr>
      </w:pPr>
      <w:bookmarkStart w:id="64" w:name="_Toc18432"/>
      <w:bookmarkStart w:id="65" w:name="_Toc8032"/>
      <w:bookmarkStart w:id="66" w:name="_Toc13426"/>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章  合同条款及格式</w:t>
      </w:r>
      <w:bookmarkEnd w:id="63"/>
      <w:bookmarkEnd w:id="64"/>
      <w:bookmarkEnd w:id="65"/>
      <w:bookmarkEnd w:id="66"/>
    </w:p>
    <w:p w14:paraId="0DB57C0C">
      <w:pPr>
        <w:rPr>
          <w:rFonts w:hint="eastAsia" w:ascii="仿宋_GB2312" w:hAnsi="仿宋_GB2312" w:eastAsia="仿宋_GB2312" w:cs="仿宋_GB2312"/>
          <w:color w:val="auto"/>
          <w:highlight w:val="none"/>
        </w:rPr>
      </w:pPr>
      <w:bookmarkStart w:id="67" w:name="_Toc283137858"/>
      <w:bookmarkStart w:id="68" w:name="_Toc285552060"/>
    </w:p>
    <w:p w14:paraId="6894448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（此合同版本仅供参考，待签订时可另行商定）</w:t>
      </w:r>
    </w:p>
    <w:p w14:paraId="0C2A050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甲方：</w:t>
      </w:r>
    </w:p>
    <w:p w14:paraId="248AA07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w:t>
      </w:r>
    </w:p>
    <w:p w14:paraId="59956041">
      <w:pPr>
        <w:spacing w:line="400" w:lineRule="exact"/>
        <w:ind w:firstLine="720" w:firstLineChars="300"/>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根据《中华人民共和国政府采购法》、《中华人民共和国合同法》等相关法律法规，甲、乙双方就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项目（政府采购项目批准号：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），经平等自愿协商一致达</w:t>
      </w:r>
    </w:p>
    <w:p w14:paraId="08BACAA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成合同如下：</w:t>
      </w:r>
    </w:p>
    <w:p w14:paraId="17FC5B4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一、合同文件</w:t>
      </w:r>
    </w:p>
    <w:p w14:paraId="761E4744">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1、合同格式以及合同条款</w:t>
      </w:r>
    </w:p>
    <w:p w14:paraId="6ECA29A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2、中标结果公告及中标通知书</w:t>
      </w:r>
    </w:p>
    <w:p w14:paraId="430E639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3、招标文件</w:t>
      </w:r>
    </w:p>
    <w:p w14:paraId="5242510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4、响应文件</w:t>
      </w:r>
    </w:p>
    <w:p w14:paraId="694F2BA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5、变更合同</w:t>
      </w:r>
    </w:p>
    <w:p w14:paraId="146DBB7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三、合同金额</w:t>
      </w:r>
    </w:p>
    <w:p w14:paraId="7B3C925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合同金额为人民币</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万元，大写：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元整</w:t>
      </w:r>
      <w:r>
        <w:rPr>
          <w:rFonts w:hint="eastAsia" w:ascii="仿宋_GB2312" w:hAnsi="仿宋_GB2312" w:eastAsia="仿宋_GB2312" w:cs="仿宋_GB2312"/>
          <w:color w:val="auto"/>
          <w:sz w:val="24"/>
          <w:szCs w:val="24"/>
          <w:highlight w:val="none"/>
          <w:lang w:val="en-US" w:eastAsia="zh-CN"/>
        </w:rPr>
        <w:t>。</w:t>
      </w:r>
    </w:p>
    <w:p w14:paraId="7ABB10B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四、付款方式及时间</w:t>
      </w:r>
    </w:p>
    <w:p w14:paraId="55DBF37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按照</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en-US"/>
        </w:rPr>
        <w:t>要求此项目技术服务费用分</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年付清，付款比例为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万元。乙方单位在进入项目现场后甲方拨付项目款的</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即</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万元用于开展工作。</w:t>
      </w:r>
    </w:p>
    <w:p w14:paraId="41C57EE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五、提供服务时间、地点</w:t>
      </w:r>
    </w:p>
    <w:p w14:paraId="155B47BD">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1、服务期限：合同签订后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w:t>
      </w:r>
    </w:p>
    <w:p w14:paraId="5C44BDC2">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2、服务地点：</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0FB9F2E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六、知识产权</w:t>
      </w:r>
    </w:p>
    <w:p w14:paraId="0863FECE">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七、验收</w:t>
      </w:r>
    </w:p>
    <w:p w14:paraId="36B50A53">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1、由甲乙双方及第三方（如有）按照</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24"/>
          <w:szCs w:val="24"/>
          <w:highlight w:val="none"/>
          <w:lang w:val="en-US" w:eastAsia="en-US"/>
        </w:rPr>
        <w:t>2、验收不合格的甲方可以解除合同且不承担任何法律责任</w:t>
      </w:r>
      <w:r>
        <w:rPr>
          <w:rFonts w:hint="eastAsia" w:ascii="仿宋_GB2312" w:hAnsi="仿宋_GB2312" w:eastAsia="仿宋_GB2312" w:cs="仿宋_GB2312"/>
          <w:color w:val="auto"/>
          <w:sz w:val="24"/>
          <w:szCs w:val="24"/>
          <w:highlight w:val="none"/>
          <w:lang w:val="en-US" w:eastAsia="zh-CN"/>
        </w:rPr>
        <w:t>。</w:t>
      </w:r>
    </w:p>
    <w:bookmarkEnd w:id="67"/>
    <w:bookmarkEnd w:id="68"/>
    <w:p w14:paraId="7B8D31F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八、服务方案</w:t>
      </w:r>
    </w:p>
    <w:p w14:paraId="3F36B5B5">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九、违约条款</w:t>
      </w:r>
    </w:p>
    <w:p w14:paraId="336471B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1、乙方逾期提供服务、甲方逾期付款，按日承担违约部分合同金额</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的违约金。</w:t>
      </w:r>
    </w:p>
    <w:p w14:paraId="615AEB3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1、提交项目所在地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仲裁委员会仲裁。</w:t>
      </w:r>
    </w:p>
    <w:p w14:paraId="2E92A7CD">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2、向项目所在地</w:t>
      </w:r>
      <w:r>
        <w:rPr>
          <w:rFonts w:hint="eastAsia" w:ascii="仿宋_GB2312" w:hAnsi="仿宋_GB2312" w:eastAsia="仿宋_GB2312" w:cs="仿宋_GB2312"/>
          <w:color w:val="auto"/>
          <w:sz w:val="24"/>
          <w:szCs w:val="24"/>
          <w:highlight w:val="none"/>
          <w:u w:val="single"/>
          <w:lang w:val="en-US" w:eastAsia="zh-CN"/>
        </w:rPr>
        <w:t xml:space="preserve"> 甲方所在地  </w:t>
      </w:r>
      <w:r>
        <w:rPr>
          <w:rFonts w:hint="eastAsia" w:ascii="仿宋_GB2312" w:hAnsi="仿宋_GB2312" w:eastAsia="仿宋_GB2312" w:cs="仿宋_GB2312"/>
          <w:color w:val="auto"/>
          <w:sz w:val="24"/>
          <w:szCs w:val="24"/>
          <w:highlight w:val="none"/>
          <w:lang w:val="en-US" w:eastAsia="zh-CN"/>
        </w:rPr>
        <w:t>人民法院起诉。</w:t>
      </w:r>
    </w:p>
    <w:p w14:paraId="752E313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十二、合同保存</w:t>
      </w:r>
    </w:p>
    <w:p w14:paraId="084D3A8A">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 （章）                               乙 方： （章）</w:t>
      </w:r>
    </w:p>
    <w:p w14:paraId="3EAC533F">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采购方法人代表：                            投标人法人代表：</w:t>
      </w:r>
    </w:p>
    <w:p w14:paraId="1D34C7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开户银行：                                  开户银行：</w:t>
      </w:r>
    </w:p>
    <w:p w14:paraId="4EDD5C5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帐 号：                                     帐 号：</w:t>
      </w:r>
    </w:p>
    <w:p w14:paraId="7EBAA8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联系电话：                                  联系电话：</w:t>
      </w:r>
    </w:p>
    <w:p w14:paraId="568C417C">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签订时间            年 月 日</w:t>
      </w:r>
    </w:p>
    <w:p w14:paraId="2036600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提交的成果：</w:t>
      </w:r>
    </w:p>
    <w:p w14:paraId="5A337C92">
      <w:pPr>
        <w:pStyle w:val="5"/>
        <w:numPr>
          <w:ilvl w:val="0"/>
          <w:numId w:val="7"/>
        </w:numPr>
        <w:spacing w:line="24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348ED18F">
      <w:pPr>
        <w:numPr>
          <w:ilvl w:val="0"/>
          <w:numId w:val="7"/>
        </w:numPr>
        <w:spacing w:line="240" w:lineRule="auto"/>
        <w:ind w:left="0" w:leftChars="0" w:firstLine="0" w:firstLineChars="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7497A9FC">
      <w:pPr>
        <w:pStyle w:val="29"/>
        <w:numPr>
          <w:ilvl w:val="0"/>
          <w:numId w:val="7"/>
        </w:numPr>
        <w:spacing w:line="240" w:lineRule="auto"/>
        <w:ind w:left="0" w:leftChars="0" w:firstLine="0" w:firstLineChars="0"/>
        <w:jc w:val="both"/>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bookmarkStart w:id="69" w:name="_Toc17743"/>
      <w:bookmarkEnd w:id="69"/>
      <w:bookmarkStart w:id="70" w:name="_Toc890"/>
      <w:bookmarkEnd w:id="70"/>
      <w:bookmarkStart w:id="71" w:name="_Toc29571"/>
      <w:bookmarkEnd w:id="71"/>
    </w:p>
    <w:p w14:paraId="184F0EF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auto"/>
          <w:szCs w:val="28"/>
          <w:highlight w:val="none"/>
        </w:rPr>
      </w:pPr>
      <w:bookmarkStart w:id="72" w:name="_Toc457916035"/>
      <w:bookmarkStart w:id="73" w:name="_Toc1460"/>
      <w:bookmarkStart w:id="74" w:name="_Toc459025844"/>
      <w:bookmarkStart w:id="75" w:name="_Toc414948405"/>
    </w:p>
    <w:p w14:paraId="31626DCA">
      <w:pPr>
        <w:pStyle w:val="25"/>
        <w:bidi w:val="0"/>
        <w:jc w:val="center"/>
        <w:rPr>
          <w:rFonts w:hint="eastAsia" w:ascii="仿宋_GB2312" w:hAnsi="仿宋_GB2312" w:eastAsia="仿宋_GB2312" w:cs="仿宋_GB2312"/>
          <w:b/>
          <w:bCs/>
          <w:color w:val="auto"/>
          <w:szCs w:val="28"/>
          <w:highlight w:val="none"/>
        </w:rPr>
      </w:pPr>
    </w:p>
    <w:p w14:paraId="040A192D">
      <w:pPr>
        <w:pStyle w:val="25"/>
        <w:bidi w:val="0"/>
        <w:jc w:val="center"/>
        <w:rPr>
          <w:rFonts w:hint="eastAsia" w:ascii="仿宋_GB2312" w:hAnsi="仿宋_GB2312" w:eastAsia="仿宋_GB2312" w:cs="仿宋_GB2312"/>
          <w:b/>
          <w:bCs/>
          <w:color w:val="auto"/>
          <w:szCs w:val="28"/>
          <w:highlight w:val="none"/>
        </w:rPr>
      </w:pPr>
    </w:p>
    <w:p w14:paraId="4FB3325D">
      <w:pPr>
        <w:pStyle w:val="25"/>
        <w:bidi w:val="0"/>
        <w:jc w:val="center"/>
        <w:rPr>
          <w:rFonts w:hint="eastAsia" w:ascii="仿宋_GB2312" w:hAnsi="仿宋_GB2312" w:eastAsia="仿宋_GB2312" w:cs="仿宋_GB2312"/>
          <w:b/>
          <w:bCs/>
          <w:color w:val="auto"/>
          <w:szCs w:val="28"/>
          <w:highlight w:val="none"/>
        </w:rPr>
      </w:pPr>
    </w:p>
    <w:p w14:paraId="46B9950D">
      <w:pPr>
        <w:pStyle w:val="25"/>
        <w:bidi w:val="0"/>
        <w:jc w:val="center"/>
        <w:rPr>
          <w:rFonts w:hint="eastAsia" w:ascii="仿宋_GB2312" w:hAnsi="仿宋_GB2312" w:eastAsia="仿宋_GB2312" w:cs="仿宋_GB2312"/>
          <w:b/>
          <w:bCs/>
          <w:color w:val="auto"/>
          <w:szCs w:val="28"/>
          <w:highlight w:val="none"/>
        </w:rPr>
      </w:pPr>
    </w:p>
    <w:p w14:paraId="7B575A9F">
      <w:pPr>
        <w:pStyle w:val="25"/>
        <w:bidi w:val="0"/>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Cs w:val="28"/>
          <w:highlight w:val="none"/>
        </w:rPr>
        <w:t>第</w:t>
      </w:r>
      <w:r>
        <w:rPr>
          <w:rFonts w:hint="eastAsia" w:ascii="仿宋_GB2312" w:hAnsi="仿宋_GB2312" w:eastAsia="仿宋_GB2312" w:cs="仿宋_GB2312"/>
          <w:b/>
          <w:bCs/>
          <w:color w:val="auto"/>
          <w:szCs w:val="28"/>
          <w:highlight w:val="none"/>
          <w:lang w:val="en-US" w:eastAsia="zh-CN"/>
        </w:rPr>
        <w:t>六</w:t>
      </w:r>
      <w:r>
        <w:rPr>
          <w:rFonts w:hint="eastAsia" w:ascii="仿宋_GB2312" w:hAnsi="仿宋_GB2312" w:eastAsia="仿宋_GB2312" w:cs="仿宋_GB2312"/>
          <w:b/>
          <w:bCs/>
          <w:color w:val="auto"/>
          <w:szCs w:val="28"/>
          <w:highlight w:val="none"/>
        </w:rPr>
        <w:t xml:space="preserve">章  </w:t>
      </w:r>
      <w:r>
        <w:rPr>
          <w:rFonts w:hint="eastAsia" w:ascii="仿宋_GB2312" w:hAnsi="仿宋_GB2312" w:eastAsia="仿宋_GB2312" w:cs="仿宋_GB2312"/>
          <w:b/>
          <w:bCs/>
          <w:color w:val="auto"/>
          <w:szCs w:val="28"/>
          <w:highlight w:val="none"/>
          <w:lang w:eastAsia="zh-CN"/>
        </w:rPr>
        <w:t>磋商</w:t>
      </w:r>
      <w:r>
        <w:rPr>
          <w:rFonts w:hint="eastAsia" w:ascii="仿宋_GB2312" w:hAnsi="仿宋_GB2312" w:eastAsia="仿宋_GB2312" w:cs="仿宋_GB2312"/>
          <w:b/>
          <w:bCs/>
          <w:color w:val="auto"/>
          <w:szCs w:val="28"/>
          <w:highlight w:val="none"/>
        </w:rPr>
        <w:t>响应文件格式与要求</w:t>
      </w:r>
      <w:bookmarkEnd w:id="72"/>
      <w:bookmarkEnd w:id="73"/>
      <w:bookmarkEnd w:id="74"/>
    </w:p>
    <w:p w14:paraId="2284565B">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一</w:t>
      </w:r>
      <w:r>
        <w:rPr>
          <w:rFonts w:hint="eastAsia" w:ascii="仿宋_GB2312" w:hAnsi="仿宋_GB2312" w:eastAsia="仿宋_GB2312" w:cs="仿宋_GB2312"/>
          <w:color w:val="auto"/>
          <w:szCs w:val="28"/>
          <w:highlight w:val="none"/>
        </w:rPr>
        <w:t>：</w:t>
      </w:r>
    </w:p>
    <w:bookmarkEnd w:id="75"/>
    <w:p w14:paraId="2E91F0D2">
      <w:pPr>
        <w:spacing w:line="480" w:lineRule="exact"/>
        <w:jc w:val="center"/>
        <w:outlineLvl w:val="0"/>
        <w:rPr>
          <w:rFonts w:hint="eastAsia" w:ascii="仿宋_GB2312" w:hAnsi="仿宋_GB2312" w:eastAsia="仿宋_GB2312" w:cs="仿宋_GB2312"/>
          <w:b/>
          <w:color w:val="auto"/>
          <w:sz w:val="36"/>
          <w:szCs w:val="36"/>
          <w:highlight w:val="none"/>
        </w:rPr>
      </w:pPr>
      <w:bookmarkStart w:id="76" w:name="_Toc399"/>
      <w:bookmarkStart w:id="77" w:name="_Toc12668"/>
      <w:r>
        <w:rPr>
          <w:rFonts w:hint="eastAsia" w:ascii="仿宋_GB2312" w:hAnsi="仿宋_GB2312" w:eastAsia="仿宋_GB2312" w:cs="仿宋_GB2312"/>
          <w:b/>
          <w:color w:val="auto"/>
          <w:sz w:val="36"/>
          <w:szCs w:val="36"/>
          <w:highlight w:val="none"/>
          <w:lang w:eastAsia="zh-CN"/>
        </w:rPr>
        <w:t>磋商</w:t>
      </w:r>
      <w:r>
        <w:rPr>
          <w:rFonts w:hint="eastAsia" w:ascii="仿宋_GB2312" w:hAnsi="仿宋_GB2312" w:eastAsia="仿宋_GB2312" w:cs="仿宋_GB2312"/>
          <w:b/>
          <w:color w:val="auto"/>
          <w:sz w:val="36"/>
          <w:szCs w:val="36"/>
          <w:highlight w:val="none"/>
        </w:rPr>
        <w:t>响应文件封面</w:t>
      </w:r>
      <w:bookmarkEnd w:id="76"/>
      <w:bookmarkEnd w:id="77"/>
    </w:p>
    <w:p w14:paraId="1BCAB0F4">
      <w:pPr>
        <w:spacing w:line="900" w:lineRule="exact"/>
        <w:jc w:val="center"/>
        <w:outlineLvl w:val="9"/>
        <w:rPr>
          <w:rFonts w:hint="eastAsia" w:ascii="仿宋_GB2312" w:hAnsi="仿宋_GB2312" w:eastAsia="仿宋_GB2312" w:cs="仿宋_GB2312"/>
          <w:b/>
          <w:bCs/>
          <w:color w:val="auto"/>
          <w:sz w:val="52"/>
          <w:szCs w:val="52"/>
          <w:highlight w:val="none"/>
        </w:rPr>
      </w:pPr>
    </w:p>
    <w:p w14:paraId="550FBAE8">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8" w:name="_Toc20657"/>
      <w:bookmarkStart w:id="79" w:name="_Toc29572"/>
      <w:r>
        <w:rPr>
          <w:rFonts w:hint="eastAsia" w:ascii="仿宋_GB2312" w:hAnsi="仿宋_GB2312" w:eastAsia="仿宋_GB2312" w:cs="仿宋_GB2312"/>
          <w:b/>
          <w:color w:val="auto"/>
          <w:kern w:val="0"/>
          <w:sz w:val="52"/>
          <w:szCs w:val="52"/>
          <w:highlight w:val="none"/>
        </w:rPr>
        <w:t>（项目名称）</w:t>
      </w:r>
      <w:bookmarkEnd w:id="78"/>
      <w:bookmarkEnd w:id="79"/>
    </w:p>
    <w:p w14:paraId="20C4956A">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80" w:name="_Toc28086"/>
      <w:bookmarkStart w:id="81" w:name="_Toc1795"/>
      <w:r>
        <w:rPr>
          <w:rFonts w:hint="eastAsia" w:ascii="仿宋_GB2312" w:hAnsi="仿宋_GB2312" w:eastAsia="仿宋_GB2312" w:cs="仿宋_GB2312"/>
          <w:b/>
          <w:color w:val="auto"/>
          <w:kern w:val="0"/>
          <w:sz w:val="52"/>
          <w:szCs w:val="52"/>
          <w:highlight w:val="none"/>
          <w:lang w:eastAsia="zh-CN"/>
        </w:rPr>
        <w:t>磋商</w:t>
      </w:r>
      <w:r>
        <w:rPr>
          <w:rFonts w:hint="eastAsia" w:ascii="仿宋_GB2312" w:hAnsi="仿宋_GB2312" w:eastAsia="仿宋_GB2312" w:cs="仿宋_GB2312"/>
          <w:b/>
          <w:color w:val="auto"/>
          <w:kern w:val="0"/>
          <w:sz w:val="52"/>
          <w:szCs w:val="52"/>
          <w:highlight w:val="none"/>
        </w:rPr>
        <w:t>响应文件</w:t>
      </w:r>
      <w:bookmarkEnd w:id="80"/>
      <w:bookmarkEnd w:id="81"/>
    </w:p>
    <w:p w14:paraId="562291FE">
      <w:pPr>
        <w:spacing w:line="900" w:lineRule="exact"/>
        <w:jc w:val="center"/>
        <w:rPr>
          <w:rFonts w:hint="eastAsia" w:ascii="仿宋_GB2312" w:hAnsi="仿宋_GB2312" w:eastAsia="仿宋_GB2312" w:cs="仿宋_GB2312"/>
          <w:b/>
          <w:color w:val="auto"/>
          <w:kern w:val="0"/>
          <w:sz w:val="36"/>
          <w:szCs w:val="36"/>
          <w:highlight w:val="none"/>
        </w:rPr>
      </w:pPr>
      <w:r>
        <w:rPr>
          <w:rFonts w:hint="eastAsia" w:ascii="仿宋_GB2312" w:hAnsi="仿宋_GB2312" w:eastAsia="仿宋_GB2312" w:cs="仿宋_GB2312"/>
          <w:color w:val="auto"/>
          <w:sz w:val="36"/>
          <w:szCs w:val="36"/>
          <w:highlight w:val="none"/>
        </w:rPr>
        <w:t>（正本/副本）</w:t>
      </w:r>
    </w:p>
    <w:p w14:paraId="4B9C7D4F">
      <w:pPr>
        <w:spacing w:line="460" w:lineRule="exact"/>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采购文件编号：</w:t>
      </w:r>
    </w:p>
    <w:p w14:paraId="23B8C365">
      <w:pPr>
        <w:spacing w:line="460" w:lineRule="exact"/>
        <w:jc w:val="center"/>
        <w:rPr>
          <w:rFonts w:hint="eastAsia" w:ascii="仿宋_GB2312" w:hAnsi="仿宋_GB2312" w:eastAsia="仿宋_GB2312" w:cs="仿宋_GB2312"/>
          <w:b/>
          <w:color w:val="auto"/>
          <w:kern w:val="0"/>
          <w:sz w:val="36"/>
          <w:szCs w:val="36"/>
          <w:highlight w:val="none"/>
        </w:rPr>
      </w:pPr>
    </w:p>
    <w:p w14:paraId="1B39CFA1">
      <w:pPr>
        <w:spacing w:line="460" w:lineRule="exact"/>
        <w:jc w:val="center"/>
        <w:rPr>
          <w:rFonts w:hint="eastAsia" w:ascii="仿宋_GB2312" w:hAnsi="仿宋_GB2312" w:eastAsia="仿宋_GB2312" w:cs="仿宋_GB2312"/>
          <w:color w:val="auto"/>
          <w:kern w:val="0"/>
          <w:szCs w:val="28"/>
          <w:highlight w:val="none"/>
        </w:rPr>
      </w:pPr>
    </w:p>
    <w:p w14:paraId="4BC177A7">
      <w:pPr>
        <w:pStyle w:val="5"/>
        <w:rPr>
          <w:rFonts w:hint="eastAsia" w:ascii="仿宋_GB2312" w:hAnsi="仿宋_GB2312" w:eastAsia="仿宋_GB2312" w:cs="仿宋_GB2312"/>
          <w:color w:val="auto"/>
          <w:highlight w:val="none"/>
        </w:rPr>
      </w:pPr>
    </w:p>
    <w:p w14:paraId="4A6203C9">
      <w:pPr>
        <w:spacing w:line="460" w:lineRule="exact"/>
        <w:jc w:val="center"/>
        <w:rPr>
          <w:rFonts w:hint="eastAsia" w:ascii="仿宋_GB2312" w:hAnsi="仿宋_GB2312" w:eastAsia="仿宋_GB2312" w:cs="仿宋_GB2312"/>
          <w:color w:val="auto"/>
          <w:kern w:val="0"/>
          <w:szCs w:val="28"/>
          <w:highlight w:val="none"/>
        </w:rPr>
      </w:pPr>
    </w:p>
    <w:p w14:paraId="39CA1F68">
      <w:pPr>
        <w:spacing w:line="460" w:lineRule="exact"/>
        <w:jc w:val="center"/>
        <w:rPr>
          <w:rFonts w:hint="eastAsia" w:ascii="仿宋_GB2312" w:hAnsi="仿宋_GB2312" w:eastAsia="仿宋_GB2312" w:cs="仿宋_GB2312"/>
          <w:color w:val="auto"/>
          <w:kern w:val="0"/>
          <w:szCs w:val="28"/>
          <w:highlight w:val="none"/>
        </w:rPr>
      </w:pPr>
    </w:p>
    <w:p w14:paraId="0C9E9A80">
      <w:pPr>
        <w:spacing w:line="460" w:lineRule="exact"/>
        <w:jc w:val="center"/>
        <w:rPr>
          <w:rFonts w:hint="eastAsia" w:ascii="仿宋_GB2312" w:hAnsi="仿宋_GB2312" w:eastAsia="仿宋_GB2312" w:cs="仿宋_GB2312"/>
          <w:color w:val="auto"/>
          <w:kern w:val="0"/>
          <w:szCs w:val="28"/>
          <w:highlight w:val="none"/>
        </w:rPr>
      </w:pPr>
    </w:p>
    <w:p w14:paraId="3804D6F4">
      <w:pPr>
        <w:spacing w:line="460" w:lineRule="exact"/>
        <w:jc w:val="center"/>
        <w:rPr>
          <w:rFonts w:hint="eastAsia" w:ascii="仿宋_GB2312" w:hAnsi="仿宋_GB2312" w:eastAsia="仿宋_GB2312" w:cs="仿宋_GB2312"/>
          <w:color w:val="auto"/>
          <w:sz w:val="36"/>
          <w:highlight w:val="none"/>
        </w:rPr>
      </w:pPr>
    </w:p>
    <w:p w14:paraId="5D334118">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617C9BDA">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05B5D00E">
      <w:pPr>
        <w:pStyle w:val="14"/>
        <w:tabs>
          <w:tab w:val="left" w:pos="774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投 标 人：</w:t>
      </w:r>
      <w:r>
        <w:rPr>
          <w:rFonts w:hint="eastAsia" w:ascii="仿宋_GB2312" w:hAnsi="仿宋_GB2312" w:eastAsia="仿宋_GB2312" w:cs="仿宋_GB2312"/>
          <w:bCs/>
          <w:color w:val="auto"/>
          <w:szCs w:val="28"/>
          <w:highlight w:val="none"/>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或其委托代理人：</w:t>
      </w:r>
      <w:r>
        <w:rPr>
          <w:rFonts w:hint="eastAsia" w:ascii="仿宋_GB2312" w:hAnsi="仿宋_GB2312" w:eastAsia="仿宋_GB2312" w:cs="仿宋_GB2312"/>
          <w:bCs/>
          <w:color w:val="auto"/>
          <w:szCs w:val="28"/>
          <w:highlight w:val="none"/>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编  制  日  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日</w:t>
      </w:r>
    </w:p>
    <w:p w14:paraId="02F677A1">
      <w:pPr>
        <w:jc w:val="left"/>
        <w:rPr>
          <w:rFonts w:hint="eastAsia" w:ascii="仿宋_GB2312" w:hAnsi="仿宋_GB2312" w:eastAsia="仿宋_GB2312" w:cs="仿宋_GB2312"/>
          <w:color w:val="auto"/>
          <w:szCs w:val="28"/>
          <w:highlight w:val="none"/>
        </w:rPr>
      </w:pPr>
    </w:p>
    <w:p w14:paraId="24D64B2B">
      <w:pPr>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二</w:t>
      </w:r>
      <w:r>
        <w:rPr>
          <w:rFonts w:hint="eastAsia" w:ascii="仿宋_GB2312" w:hAnsi="仿宋_GB2312" w:eastAsia="仿宋_GB2312" w:cs="仿宋_GB2312"/>
          <w:color w:val="auto"/>
          <w:szCs w:val="28"/>
          <w:highlight w:val="none"/>
        </w:rPr>
        <w:t>：</w:t>
      </w:r>
    </w:p>
    <w:p w14:paraId="4006AC17">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磋商</w:t>
      </w:r>
      <w:r>
        <w:rPr>
          <w:rFonts w:hint="eastAsia" w:ascii="仿宋_GB2312" w:hAnsi="仿宋_GB2312" w:eastAsia="仿宋_GB2312" w:cs="仿宋_GB2312"/>
          <w:b/>
          <w:color w:val="auto"/>
          <w:highlight w:val="none"/>
        </w:rPr>
        <w:t>响应文件目录</w:t>
      </w:r>
    </w:p>
    <w:p w14:paraId="7772DB65">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投标承诺书</w:t>
      </w:r>
    </w:p>
    <w:p w14:paraId="07A2C25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法定代表人授权委托书</w:t>
      </w:r>
    </w:p>
    <w:p w14:paraId="6091B74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技术响应情况</w:t>
      </w:r>
    </w:p>
    <w:p w14:paraId="563AB32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报价表</w:t>
      </w:r>
    </w:p>
    <w:p w14:paraId="30D5A4B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投标人基本情况表</w:t>
      </w:r>
    </w:p>
    <w:p w14:paraId="76AFAC3C">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投标预算</w:t>
      </w:r>
    </w:p>
    <w:p w14:paraId="722E91DD">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项目组成员一览表</w:t>
      </w:r>
    </w:p>
    <w:p w14:paraId="1D21F9E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w:t>
      </w:r>
      <w:r>
        <w:rPr>
          <w:rFonts w:hint="eastAsia" w:ascii="仿宋_GB2312" w:hAnsi="仿宋_GB2312" w:eastAsia="仿宋_GB2312" w:cs="仿宋_GB2312"/>
          <w:b w:val="0"/>
          <w:bCs w:val="0"/>
          <w:color w:val="auto"/>
          <w:sz w:val="24"/>
          <w:szCs w:val="24"/>
          <w:highlight w:val="none"/>
          <w:lang w:val="en-US" w:eastAsia="zh-CN"/>
        </w:rPr>
        <w:t>经理</w:t>
      </w:r>
      <w:r>
        <w:rPr>
          <w:rFonts w:hint="eastAsia" w:ascii="仿宋_GB2312" w:hAnsi="仿宋_GB2312" w:eastAsia="仿宋_GB2312" w:cs="仿宋_GB2312"/>
          <w:b w:val="0"/>
          <w:bCs w:val="0"/>
          <w:color w:val="auto"/>
          <w:sz w:val="24"/>
          <w:szCs w:val="24"/>
          <w:highlight w:val="none"/>
          <w:lang w:val="en-US" w:eastAsia="en-US"/>
        </w:rPr>
        <w:t>及项目组主要技术人员简历表</w:t>
      </w:r>
    </w:p>
    <w:p w14:paraId="32EF88FF">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企业业绩情况及认证</w:t>
      </w:r>
      <w:r>
        <w:rPr>
          <w:rFonts w:hint="eastAsia" w:ascii="仿宋_GB2312" w:hAnsi="仿宋_GB2312" w:eastAsia="仿宋_GB2312" w:cs="仿宋_GB2312"/>
          <w:b w:val="0"/>
          <w:bCs w:val="0"/>
          <w:color w:val="auto"/>
          <w:sz w:val="24"/>
          <w:szCs w:val="24"/>
          <w:highlight w:val="none"/>
          <w:lang w:val="en-US" w:eastAsia="zh-CN"/>
        </w:rPr>
        <w:t>体系</w:t>
      </w:r>
    </w:p>
    <w:p w14:paraId="200A88D0">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政府采购政策情况表</w:t>
      </w:r>
    </w:p>
    <w:p w14:paraId="3211B325">
      <w:pPr>
        <w:rPr>
          <w:rFonts w:hint="eastAsia" w:ascii="仿宋_GB2312" w:hAnsi="仿宋_GB2312" w:eastAsia="仿宋_GB2312" w:cs="仿宋_GB2312"/>
          <w:b w:val="0"/>
          <w:bCs w:val="0"/>
          <w:color w:val="auto"/>
          <w:sz w:val="24"/>
          <w:szCs w:val="24"/>
          <w:highlight w:val="none"/>
          <w:lang w:val="en-US" w:eastAsia="en-US"/>
        </w:rPr>
      </w:pPr>
      <w:bookmarkStart w:id="82" w:name="_Toc16272_WPSOffice_Level2"/>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中小企业声明函</w:t>
      </w:r>
      <w:bookmarkEnd w:id="82"/>
    </w:p>
    <w:p w14:paraId="0855EE9C">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小微企业截图</w:t>
      </w:r>
    </w:p>
    <w:p w14:paraId="3B7C044F">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残疾人福利性单位声明函</w:t>
      </w:r>
    </w:p>
    <w:p w14:paraId="2D2BA213">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财务审计报告</w:t>
      </w:r>
      <w:r>
        <w:rPr>
          <w:rFonts w:hint="eastAsia" w:ascii="仿宋_GB2312" w:hAnsi="仿宋_GB2312" w:eastAsia="仿宋_GB2312" w:cs="仿宋_GB2312"/>
          <w:b w:val="0"/>
          <w:bCs w:val="0"/>
          <w:color w:val="auto"/>
          <w:sz w:val="24"/>
          <w:szCs w:val="24"/>
          <w:highlight w:val="none"/>
          <w:lang w:val="en-US" w:eastAsia="zh-CN"/>
        </w:rPr>
        <w:t>、社保、完税</w:t>
      </w:r>
    </w:p>
    <w:p w14:paraId="52CE118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各类证明材料</w:t>
      </w:r>
    </w:p>
    <w:p w14:paraId="3CD293DA">
      <w:pPr>
        <w:rPr>
          <w:rFonts w:hint="eastAsia" w:ascii="仿宋_GB2312" w:hAnsi="仿宋_GB2312" w:eastAsia="仿宋_GB2312" w:cs="仿宋_GB2312"/>
          <w:b/>
          <w:bCs/>
          <w:color w:val="auto"/>
          <w:sz w:val="36"/>
          <w:szCs w:val="36"/>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方案</w:t>
      </w:r>
    </w:p>
    <w:p w14:paraId="40740864">
      <w:pP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 w:val="36"/>
          <w:szCs w:val="36"/>
          <w:highlight w:val="none"/>
        </w:rPr>
        <w:br w:type="page"/>
      </w:r>
      <w:r>
        <w:rPr>
          <w:rFonts w:hint="eastAsia" w:ascii="仿宋_GB2312" w:hAnsi="仿宋_GB2312" w:eastAsia="仿宋_GB2312" w:cs="仿宋_GB2312"/>
          <w:color w:val="auto"/>
          <w:szCs w:val="28"/>
          <w:highlight w:val="none"/>
        </w:rPr>
        <w:t>格式三：</w:t>
      </w:r>
    </w:p>
    <w:p w14:paraId="25BACB28">
      <w:pPr>
        <w:spacing w:before="82" w:line="329" w:lineRule="exact"/>
        <w:ind w:left="3553"/>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2"/>
          <w:sz w:val="28"/>
          <w:szCs w:val="28"/>
          <w:highlight w:val="none"/>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1.按照已收到的项目编号为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 一旦我方中标，我方保证在</w:t>
      </w:r>
      <w:r>
        <w:rPr>
          <w:rFonts w:hint="eastAsia" w:ascii="仿宋_GB2312" w:hAnsi="仿宋_GB2312" w:eastAsia="仿宋_GB2312" w:cs="仿宋_GB2312"/>
          <w:color w:val="auto"/>
          <w:sz w:val="24"/>
          <w:szCs w:val="24"/>
          <w:highlight w:val="none"/>
          <w:u w:val="none"/>
          <w:lang w:val="en-US" w:eastAsia="en-US"/>
        </w:rPr>
        <w:t>_______</w:t>
      </w:r>
      <w:r>
        <w:rPr>
          <w:rFonts w:hint="eastAsia" w:ascii="仿宋_GB2312" w:hAnsi="仿宋_GB2312" w:eastAsia="仿宋_GB2312" w:cs="仿宋_GB2312"/>
          <w:color w:val="auto"/>
          <w:sz w:val="24"/>
          <w:szCs w:val="24"/>
          <w:highlight w:val="none"/>
          <w:lang w:val="en-US" w:eastAsia="en-US"/>
        </w:rPr>
        <w:t>内</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7. 我方的金额为人民币（大写）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详细地址：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电 话：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传 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 xml:space="preserve">投标人开户银行： </w:t>
      </w:r>
      <w:r>
        <w:rPr>
          <w:rFonts w:hint="eastAsia" w:ascii="仿宋_GB2312" w:hAnsi="仿宋_GB2312" w:eastAsia="仿宋_GB2312" w:cs="仿宋_GB2312"/>
          <w:color w:val="auto"/>
          <w:sz w:val="24"/>
          <w:szCs w:val="24"/>
          <w:highlight w:val="none"/>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Cs w:val="28"/>
          <w:highlight w:val="none"/>
        </w:rPr>
        <w:t>格式四：</w:t>
      </w:r>
    </w:p>
    <w:p w14:paraId="0AD38A69">
      <w:pPr>
        <w:pStyle w:val="3"/>
        <w:jc w:val="center"/>
        <w:rPr>
          <w:rFonts w:hint="eastAsia" w:ascii="仿宋_GB2312" w:hAnsi="仿宋_GB2312" w:eastAsia="仿宋_GB2312" w:cs="仿宋_GB2312"/>
          <w:b w:val="0"/>
          <w:bCs w:val="0"/>
          <w:color w:val="auto"/>
          <w:sz w:val="28"/>
          <w:szCs w:val="28"/>
          <w:highlight w:val="none"/>
        </w:rPr>
      </w:pPr>
      <w:bookmarkStart w:id="83" w:name="_Toc459025847"/>
      <w:bookmarkStart w:id="84" w:name="_Toc23065"/>
      <w:bookmarkStart w:id="85" w:name="_Toc4923"/>
      <w:bookmarkStart w:id="86" w:name="_Toc456778740"/>
      <w:r>
        <w:rPr>
          <w:rFonts w:hint="eastAsia" w:ascii="仿宋_GB2312" w:hAnsi="仿宋_GB2312" w:eastAsia="仿宋_GB2312" w:cs="仿宋_GB2312"/>
          <w:b w:val="0"/>
          <w:bCs w:val="0"/>
          <w:color w:val="auto"/>
          <w:sz w:val="28"/>
          <w:szCs w:val="28"/>
          <w:highlight w:val="none"/>
          <w:lang w:val="en-US" w:eastAsia="zh-CN"/>
        </w:rPr>
        <w:t>二</w:t>
      </w:r>
      <w:r>
        <w:rPr>
          <w:rFonts w:hint="eastAsia" w:ascii="仿宋_GB2312" w:hAnsi="仿宋_GB2312" w:eastAsia="仿宋_GB2312" w:cs="仿宋_GB2312"/>
          <w:b w:val="0"/>
          <w:bCs w:val="0"/>
          <w:color w:val="auto"/>
          <w:sz w:val="28"/>
          <w:szCs w:val="28"/>
          <w:highlight w:val="none"/>
        </w:rPr>
        <w:t>、法定代表人授权委托书</w:t>
      </w:r>
      <w:bookmarkEnd w:id="83"/>
      <w:bookmarkEnd w:id="84"/>
      <w:bookmarkEnd w:id="85"/>
      <w:bookmarkEnd w:id="86"/>
    </w:p>
    <w:p w14:paraId="5021A1AD">
      <w:pPr>
        <w:spacing w:line="480" w:lineRule="exact"/>
        <w:ind w:firstLine="562" w:firstLineChars="201"/>
        <w:rPr>
          <w:rFonts w:hint="eastAsia" w:ascii="仿宋_GB2312" w:hAnsi="仿宋_GB2312" w:eastAsia="仿宋_GB2312" w:cs="仿宋_GB2312"/>
          <w:color w:val="auto"/>
          <w:szCs w:val="28"/>
          <w:highlight w:val="none"/>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兹委派我单位（姓名）参加贵单位组织的项目名称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特此委托。</w:t>
      </w:r>
    </w:p>
    <w:p w14:paraId="3A185D4E">
      <w:pPr>
        <w:spacing w:line="480" w:lineRule="exact"/>
        <w:ind w:firstLine="562" w:firstLineChars="201"/>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auto"/>
          <w:szCs w:val="28"/>
          <w:highlight w:val="none"/>
        </w:rPr>
      </w:pPr>
    </w:p>
    <w:p w14:paraId="0C8FD40E">
      <w:pPr>
        <w:spacing w:line="480" w:lineRule="exact"/>
        <w:ind w:firstLine="562" w:firstLineChars="201"/>
        <w:rPr>
          <w:rFonts w:hint="eastAsia" w:ascii="仿宋_GB2312" w:hAnsi="仿宋_GB2312" w:eastAsia="仿宋_GB2312" w:cs="仿宋_GB2312"/>
          <w:color w:val="auto"/>
          <w:szCs w:val="28"/>
          <w:highlight w:val="none"/>
        </w:rPr>
      </w:pPr>
    </w:p>
    <w:p w14:paraId="3084CD45">
      <w:pPr>
        <w:spacing w:line="480" w:lineRule="exact"/>
        <w:ind w:firstLine="562" w:firstLineChars="201"/>
        <w:rPr>
          <w:rFonts w:hint="eastAsia" w:ascii="仿宋_GB2312" w:hAnsi="仿宋_GB2312" w:eastAsia="仿宋_GB2312" w:cs="仿宋_GB2312"/>
          <w:color w:val="auto"/>
          <w:szCs w:val="28"/>
          <w:highlight w:val="none"/>
        </w:rPr>
      </w:pPr>
    </w:p>
    <w:p w14:paraId="16377E7A">
      <w:pPr>
        <w:spacing w:line="480" w:lineRule="exact"/>
        <w:ind w:firstLine="562" w:firstLineChars="201"/>
        <w:rPr>
          <w:rFonts w:hint="eastAsia" w:ascii="仿宋_GB2312" w:hAnsi="仿宋_GB2312" w:eastAsia="仿宋_GB2312" w:cs="仿宋_GB2312"/>
          <w:color w:val="auto"/>
          <w:szCs w:val="28"/>
          <w:highlight w:val="none"/>
        </w:rPr>
      </w:pPr>
    </w:p>
    <w:p w14:paraId="387DDA4D">
      <w:pPr>
        <w:spacing w:line="480" w:lineRule="exact"/>
        <w:ind w:firstLine="562" w:firstLineChars="201"/>
        <w:rPr>
          <w:rFonts w:hint="eastAsia" w:ascii="仿宋_GB2312" w:hAnsi="仿宋_GB2312" w:eastAsia="仿宋_GB2312" w:cs="仿宋_GB2312"/>
          <w:color w:val="auto"/>
          <w:szCs w:val="28"/>
          <w:highlight w:val="none"/>
        </w:rPr>
      </w:pPr>
    </w:p>
    <w:p w14:paraId="507014BB">
      <w:pPr>
        <w:spacing w:line="480" w:lineRule="exact"/>
        <w:rPr>
          <w:rFonts w:hint="eastAsia" w:ascii="仿宋_GB2312" w:hAnsi="仿宋_GB2312" w:eastAsia="仿宋_GB2312" w:cs="仿宋_GB2312"/>
          <w:color w:val="auto"/>
          <w:szCs w:val="28"/>
          <w:highlight w:val="none"/>
        </w:rPr>
      </w:pPr>
    </w:p>
    <w:p w14:paraId="0716AE46">
      <w:pPr>
        <w:spacing w:line="480" w:lineRule="exact"/>
        <w:rPr>
          <w:rFonts w:hint="eastAsia" w:ascii="仿宋_GB2312" w:hAnsi="仿宋_GB2312" w:eastAsia="仿宋_GB2312" w:cs="仿宋_GB2312"/>
          <w:color w:val="auto"/>
          <w:szCs w:val="28"/>
          <w:highlight w:val="none"/>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1E9065E6">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bookmarkStart w:id="164" w:name="_GoBack"/>
      <w:bookmarkEnd w:id="164"/>
    </w:p>
    <w:p w14:paraId="41C072F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授权代表人：</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676CF264">
      <w:pPr>
        <w:pStyle w:val="17"/>
        <w:ind w:left="57" w:right="57" w:firstLine="562" w:firstLineChars="201"/>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年    月   日</w:t>
      </w:r>
    </w:p>
    <w:p w14:paraId="7E6AA98D">
      <w:pPr>
        <w:pStyle w:val="17"/>
        <w:ind w:right="57"/>
        <w:rPr>
          <w:rFonts w:hint="eastAsia" w:ascii="仿宋_GB2312" w:hAnsi="仿宋_GB2312" w:eastAsia="仿宋_GB2312" w:cs="仿宋_GB2312"/>
          <w:b/>
          <w:color w:val="auto"/>
          <w:szCs w:val="28"/>
          <w:highlight w:val="none"/>
          <w:lang w:eastAsia="zh-CN"/>
        </w:rPr>
      </w:pPr>
    </w:p>
    <w:p w14:paraId="7C5A7869">
      <w:pPr>
        <w:pStyle w:val="17"/>
        <w:ind w:right="57"/>
        <w:rPr>
          <w:rFonts w:hint="eastAsia" w:ascii="仿宋_GB2312" w:hAnsi="仿宋_GB2312" w:eastAsia="仿宋_GB2312" w:cs="仿宋_GB2312"/>
          <w:b/>
          <w:color w:val="auto"/>
          <w:szCs w:val="28"/>
          <w:highlight w:val="none"/>
          <w:lang w:eastAsia="zh-CN"/>
        </w:rPr>
      </w:pPr>
    </w:p>
    <w:p w14:paraId="6C2B019C">
      <w:pPr>
        <w:pStyle w:val="17"/>
        <w:ind w:right="57"/>
        <w:rPr>
          <w:rFonts w:hint="eastAsia" w:ascii="仿宋_GB2312" w:hAnsi="仿宋_GB2312" w:eastAsia="仿宋_GB2312" w:cs="仿宋_GB2312"/>
          <w:b/>
          <w:color w:val="auto"/>
          <w:szCs w:val="28"/>
          <w:highlight w:val="none"/>
          <w:lang w:eastAsia="zh-CN"/>
        </w:rPr>
      </w:pPr>
    </w:p>
    <w:p w14:paraId="020B4AC8">
      <w:pPr>
        <w:pStyle w:val="17"/>
        <w:ind w:right="57"/>
        <w:jc w:val="left"/>
        <w:rPr>
          <w:rFonts w:hint="eastAsia" w:ascii="仿宋_GB2312" w:hAnsi="仿宋_GB2312" w:eastAsia="仿宋_GB2312" w:cs="仿宋_GB2312"/>
          <w:color w:val="auto"/>
          <w:szCs w:val="28"/>
          <w:highlight w:val="none"/>
        </w:rPr>
      </w:pPr>
    </w:p>
    <w:p w14:paraId="1D348D1E">
      <w:pPr>
        <w:pStyle w:val="17"/>
        <w:ind w:right="57"/>
        <w:jc w:val="left"/>
        <w:rPr>
          <w:rFonts w:hint="eastAsia" w:ascii="仿宋_GB2312" w:hAnsi="仿宋_GB2312" w:eastAsia="仿宋_GB2312" w:cs="仿宋_GB2312"/>
          <w:color w:val="auto"/>
          <w:szCs w:val="28"/>
          <w:highlight w:val="none"/>
        </w:rPr>
      </w:pPr>
    </w:p>
    <w:p w14:paraId="169EB0BD">
      <w:pPr>
        <w:pStyle w:val="17"/>
        <w:ind w:right="57"/>
        <w:jc w:val="left"/>
        <w:rPr>
          <w:rFonts w:hint="eastAsia" w:ascii="仿宋_GB2312" w:hAnsi="仿宋_GB2312" w:eastAsia="仿宋_GB2312" w:cs="仿宋_GB2312"/>
          <w:color w:val="auto"/>
          <w:szCs w:val="28"/>
          <w:highlight w:val="none"/>
        </w:rPr>
      </w:pPr>
    </w:p>
    <w:p w14:paraId="48ABA2B7">
      <w:pPr>
        <w:pStyle w:val="17"/>
        <w:ind w:right="57"/>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五</w:t>
      </w:r>
      <w:r>
        <w:rPr>
          <w:rFonts w:hint="eastAsia" w:ascii="仿宋_GB2312" w:hAnsi="仿宋_GB2312" w:eastAsia="仿宋_GB2312" w:cs="仿宋_GB2312"/>
          <w:color w:val="auto"/>
          <w:szCs w:val="28"/>
          <w:highlight w:val="none"/>
        </w:rPr>
        <w:t>：</w:t>
      </w:r>
    </w:p>
    <w:p w14:paraId="556FF6E1">
      <w:pPr>
        <w:pStyle w:val="17"/>
        <w:ind w:right="57"/>
        <w:jc w:val="center"/>
        <w:rPr>
          <w:rFonts w:hint="eastAsia" w:ascii="仿宋_GB2312" w:hAnsi="仿宋_GB2312" w:eastAsia="仿宋_GB2312" w:cs="仿宋_GB2312"/>
          <w:color w:val="auto"/>
          <w:szCs w:val="28"/>
          <w:highlight w:val="none"/>
          <w:lang w:eastAsia="zh-CN"/>
        </w:rPr>
      </w:pPr>
      <w:r>
        <w:rPr>
          <w:rFonts w:hint="eastAsia" w:ascii="仿宋_GB2312" w:hAnsi="仿宋_GB2312" w:eastAsia="仿宋_GB2312" w:cs="仿宋_GB2312"/>
          <w:color w:val="auto"/>
          <w:szCs w:val="28"/>
          <w:highlight w:val="none"/>
          <w:lang w:eastAsia="zh-CN"/>
        </w:rPr>
        <w:t>三、技术响应情况</w:t>
      </w:r>
    </w:p>
    <w:p w14:paraId="53E58CE4">
      <w:pPr>
        <w:pStyle w:val="17"/>
        <w:ind w:right="57"/>
        <w:jc w:val="left"/>
        <w:rPr>
          <w:rFonts w:hint="eastAsia" w:ascii="仿宋_GB2312" w:hAnsi="仿宋_GB2312" w:eastAsia="仿宋_GB2312" w:cs="仿宋_GB2312"/>
          <w:color w:val="auto"/>
          <w:szCs w:val="28"/>
          <w:highlight w:val="none"/>
        </w:rPr>
      </w:pPr>
    </w:p>
    <w:p w14:paraId="265497CE">
      <w:pPr>
        <w:pStyle w:val="17"/>
        <w:ind w:right="57"/>
        <w:jc w:val="left"/>
        <w:rPr>
          <w:rFonts w:hint="eastAsia" w:ascii="仿宋_GB2312" w:hAnsi="仿宋_GB2312" w:eastAsia="仿宋_GB2312" w:cs="仿宋_GB2312"/>
          <w:color w:val="auto"/>
          <w:szCs w:val="28"/>
          <w:highlight w:val="none"/>
        </w:rPr>
      </w:pPr>
    </w:p>
    <w:p w14:paraId="79C0F9AD">
      <w:pPr>
        <w:pStyle w:val="17"/>
        <w:ind w:right="57"/>
        <w:jc w:val="left"/>
        <w:rPr>
          <w:rFonts w:hint="eastAsia" w:ascii="仿宋_GB2312" w:hAnsi="仿宋_GB2312" w:eastAsia="仿宋_GB2312" w:cs="仿宋_GB2312"/>
          <w:color w:val="auto"/>
          <w:szCs w:val="28"/>
          <w:highlight w:val="none"/>
        </w:rPr>
      </w:pPr>
    </w:p>
    <w:p w14:paraId="3810981B">
      <w:pPr>
        <w:pStyle w:val="17"/>
        <w:ind w:right="57"/>
        <w:jc w:val="left"/>
        <w:rPr>
          <w:rFonts w:hint="eastAsia" w:ascii="仿宋_GB2312" w:hAnsi="仿宋_GB2312" w:eastAsia="仿宋_GB2312" w:cs="仿宋_GB2312"/>
          <w:color w:val="auto"/>
          <w:szCs w:val="28"/>
          <w:highlight w:val="none"/>
        </w:rPr>
      </w:pPr>
    </w:p>
    <w:p w14:paraId="615A194E">
      <w:pPr>
        <w:pStyle w:val="17"/>
        <w:ind w:right="57"/>
        <w:jc w:val="left"/>
        <w:rPr>
          <w:rFonts w:hint="eastAsia" w:ascii="仿宋_GB2312" w:hAnsi="仿宋_GB2312" w:eastAsia="仿宋_GB2312" w:cs="仿宋_GB2312"/>
          <w:color w:val="auto"/>
          <w:szCs w:val="28"/>
          <w:highlight w:val="none"/>
        </w:rPr>
      </w:pPr>
    </w:p>
    <w:p w14:paraId="2513087F">
      <w:pPr>
        <w:pStyle w:val="17"/>
        <w:ind w:right="57"/>
        <w:jc w:val="left"/>
        <w:rPr>
          <w:rFonts w:hint="eastAsia" w:ascii="仿宋_GB2312" w:hAnsi="仿宋_GB2312" w:eastAsia="仿宋_GB2312" w:cs="仿宋_GB2312"/>
          <w:color w:val="auto"/>
          <w:szCs w:val="28"/>
          <w:highlight w:val="none"/>
        </w:rPr>
      </w:pPr>
    </w:p>
    <w:p w14:paraId="5DBDF4F0">
      <w:pPr>
        <w:pStyle w:val="17"/>
        <w:ind w:right="57"/>
        <w:jc w:val="left"/>
        <w:rPr>
          <w:rFonts w:hint="eastAsia" w:ascii="仿宋_GB2312" w:hAnsi="仿宋_GB2312" w:eastAsia="仿宋_GB2312" w:cs="仿宋_GB2312"/>
          <w:color w:val="auto"/>
          <w:szCs w:val="28"/>
          <w:highlight w:val="none"/>
        </w:rPr>
      </w:pPr>
    </w:p>
    <w:p w14:paraId="4DD72690">
      <w:pPr>
        <w:pStyle w:val="17"/>
        <w:ind w:right="57"/>
        <w:jc w:val="left"/>
        <w:rPr>
          <w:rFonts w:hint="eastAsia" w:ascii="仿宋_GB2312" w:hAnsi="仿宋_GB2312" w:eastAsia="仿宋_GB2312" w:cs="仿宋_GB2312"/>
          <w:color w:val="auto"/>
          <w:szCs w:val="28"/>
          <w:highlight w:val="none"/>
        </w:rPr>
      </w:pPr>
    </w:p>
    <w:p w14:paraId="0902B75A">
      <w:pPr>
        <w:pStyle w:val="17"/>
        <w:ind w:right="57"/>
        <w:jc w:val="left"/>
        <w:rPr>
          <w:rFonts w:hint="eastAsia" w:ascii="仿宋_GB2312" w:hAnsi="仿宋_GB2312" w:eastAsia="仿宋_GB2312" w:cs="仿宋_GB2312"/>
          <w:color w:val="auto"/>
          <w:szCs w:val="28"/>
          <w:highlight w:val="none"/>
        </w:rPr>
      </w:pPr>
    </w:p>
    <w:p w14:paraId="7199B9EA">
      <w:pPr>
        <w:pStyle w:val="17"/>
        <w:ind w:right="57"/>
        <w:jc w:val="left"/>
        <w:rPr>
          <w:rFonts w:hint="eastAsia" w:ascii="仿宋_GB2312" w:hAnsi="仿宋_GB2312" w:eastAsia="仿宋_GB2312" w:cs="仿宋_GB2312"/>
          <w:color w:val="auto"/>
          <w:szCs w:val="28"/>
          <w:highlight w:val="none"/>
        </w:rPr>
      </w:pPr>
    </w:p>
    <w:p w14:paraId="1E34B4D3">
      <w:pPr>
        <w:pStyle w:val="17"/>
        <w:ind w:right="57"/>
        <w:jc w:val="left"/>
        <w:rPr>
          <w:rFonts w:hint="eastAsia" w:ascii="仿宋_GB2312" w:hAnsi="仿宋_GB2312" w:eastAsia="仿宋_GB2312" w:cs="仿宋_GB2312"/>
          <w:color w:val="auto"/>
          <w:szCs w:val="28"/>
          <w:highlight w:val="none"/>
        </w:rPr>
      </w:pPr>
    </w:p>
    <w:p w14:paraId="3DC68D71">
      <w:pPr>
        <w:pStyle w:val="17"/>
        <w:ind w:right="57"/>
        <w:jc w:val="left"/>
        <w:rPr>
          <w:rFonts w:hint="eastAsia" w:ascii="仿宋_GB2312" w:hAnsi="仿宋_GB2312" w:eastAsia="仿宋_GB2312" w:cs="仿宋_GB2312"/>
          <w:color w:val="auto"/>
          <w:szCs w:val="28"/>
          <w:highlight w:val="none"/>
        </w:rPr>
      </w:pPr>
    </w:p>
    <w:p w14:paraId="3548FA9C">
      <w:pPr>
        <w:pStyle w:val="17"/>
        <w:ind w:right="57"/>
        <w:jc w:val="left"/>
        <w:rPr>
          <w:rFonts w:hint="eastAsia" w:ascii="仿宋_GB2312" w:hAnsi="仿宋_GB2312" w:eastAsia="仿宋_GB2312" w:cs="仿宋_GB2312"/>
          <w:color w:val="auto"/>
          <w:szCs w:val="28"/>
          <w:highlight w:val="none"/>
        </w:rPr>
      </w:pPr>
    </w:p>
    <w:p w14:paraId="719AE9E0">
      <w:pPr>
        <w:pStyle w:val="17"/>
        <w:ind w:right="57"/>
        <w:jc w:val="left"/>
        <w:rPr>
          <w:rFonts w:hint="eastAsia" w:ascii="仿宋_GB2312" w:hAnsi="仿宋_GB2312" w:eastAsia="仿宋_GB2312" w:cs="仿宋_GB2312"/>
          <w:color w:val="auto"/>
          <w:szCs w:val="28"/>
          <w:highlight w:val="none"/>
        </w:rPr>
      </w:pPr>
    </w:p>
    <w:p w14:paraId="5D6ED652">
      <w:pPr>
        <w:pStyle w:val="17"/>
        <w:ind w:right="57"/>
        <w:jc w:val="left"/>
        <w:rPr>
          <w:rFonts w:hint="eastAsia" w:ascii="仿宋_GB2312" w:hAnsi="仿宋_GB2312" w:eastAsia="仿宋_GB2312" w:cs="仿宋_GB2312"/>
          <w:color w:val="auto"/>
          <w:szCs w:val="28"/>
          <w:highlight w:val="none"/>
        </w:rPr>
      </w:pPr>
    </w:p>
    <w:p w14:paraId="63371AF8">
      <w:pPr>
        <w:pStyle w:val="17"/>
        <w:ind w:right="57"/>
        <w:jc w:val="left"/>
        <w:rPr>
          <w:rFonts w:hint="eastAsia" w:ascii="仿宋_GB2312" w:hAnsi="仿宋_GB2312" w:eastAsia="仿宋_GB2312" w:cs="仿宋_GB2312"/>
          <w:color w:val="auto"/>
          <w:szCs w:val="28"/>
          <w:highlight w:val="none"/>
        </w:rPr>
      </w:pPr>
    </w:p>
    <w:p w14:paraId="1D53BAAB">
      <w:pPr>
        <w:pStyle w:val="17"/>
        <w:ind w:right="57"/>
        <w:jc w:val="left"/>
        <w:rPr>
          <w:rFonts w:hint="eastAsia" w:ascii="仿宋_GB2312" w:hAnsi="仿宋_GB2312" w:eastAsia="仿宋_GB2312" w:cs="仿宋_GB2312"/>
          <w:color w:val="auto"/>
          <w:szCs w:val="28"/>
          <w:highlight w:val="none"/>
        </w:rPr>
      </w:pPr>
    </w:p>
    <w:p w14:paraId="0C93F426">
      <w:pPr>
        <w:pStyle w:val="17"/>
        <w:ind w:right="57"/>
        <w:jc w:val="left"/>
        <w:rPr>
          <w:rFonts w:hint="eastAsia" w:ascii="仿宋_GB2312" w:hAnsi="仿宋_GB2312" w:eastAsia="仿宋_GB2312" w:cs="仿宋_GB2312"/>
          <w:color w:val="auto"/>
          <w:szCs w:val="28"/>
          <w:highlight w:val="none"/>
        </w:rPr>
      </w:pPr>
    </w:p>
    <w:p w14:paraId="32F0F107">
      <w:pPr>
        <w:pStyle w:val="17"/>
        <w:ind w:right="57"/>
        <w:jc w:val="left"/>
        <w:rPr>
          <w:rFonts w:hint="eastAsia" w:ascii="仿宋_GB2312" w:hAnsi="仿宋_GB2312" w:eastAsia="仿宋_GB2312" w:cs="仿宋_GB2312"/>
          <w:color w:val="auto"/>
          <w:szCs w:val="28"/>
          <w:highlight w:val="none"/>
        </w:rPr>
      </w:pPr>
    </w:p>
    <w:p w14:paraId="5D1263EA">
      <w:pPr>
        <w:pStyle w:val="17"/>
        <w:ind w:right="57"/>
        <w:jc w:val="left"/>
        <w:rPr>
          <w:rFonts w:hint="eastAsia" w:ascii="仿宋_GB2312" w:hAnsi="仿宋_GB2312" w:eastAsia="仿宋_GB2312" w:cs="仿宋_GB2312"/>
          <w:color w:val="auto"/>
          <w:szCs w:val="28"/>
          <w:highlight w:val="none"/>
        </w:rPr>
      </w:pPr>
    </w:p>
    <w:p w14:paraId="27EC3E99">
      <w:pPr>
        <w:pStyle w:val="17"/>
        <w:ind w:right="57"/>
        <w:jc w:val="left"/>
        <w:rPr>
          <w:rFonts w:hint="eastAsia" w:ascii="仿宋_GB2312" w:hAnsi="仿宋_GB2312" w:eastAsia="仿宋_GB2312" w:cs="仿宋_GB2312"/>
          <w:color w:val="auto"/>
          <w:szCs w:val="28"/>
          <w:highlight w:val="none"/>
        </w:rPr>
      </w:pPr>
    </w:p>
    <w:p w14:paraId="3437D3CD">
      <w:pPr>
        <w:pStyle w:val="17"/>
        <w:ind w:right="57"/>
        <w:jc w:val="left"/>
        <w:rPr>
          <w:rFonts w:hint="eastAsia" w:ascii="仿宋_GB2312" w:hAnsi="仿宋_GB2312" w:eastAsia="仿宋_GB2312" w:cs="仿宋_GB2312"/>
          <w:color w:val="auto"/>
          <w:szCs w:val="28"/>
          <w:highlight w:val="none"/>
        </w:rPr>
      </w:pPr>
    </w:p>
    <w:p w14:paraId="2954DE71">
      <w:pPr>
        <w:pStyle w:val="17"/>
        <w:ind w:right="57"/>
        <w:jc w:val="left"/>
        <w:rPr>
          <w:rFonts w:hint="eastAsia" w:ascii="仿宋_GB2312" w:hAnsi="仿宋_GB2312" w:eastAsia="仿宋_GB2312" w:cs="仿宋_GB2312"/>
          <w:color w:val="auto"/>
          <w:szCs w:val="28"/>
          <w:highlight w:val="none"/>
        </w:rPr>
      </w:pPr>
    </w:p>
    <w:p w14:paraId="7E5F9EA5">
      <w:pPr>
        <w:pStyle w:val="17"/>
        <w:ind w:right="57"/>
        <w:jc w:val="left"/>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格式六</w:t>
      </w:r>
      <w:r>
        <w:rPr>
          <w:rFonts w:hint="eastAsia" w:ascii="仿宋_GB2312" w:hAnsi="仿宋_GB2312" w:eastAsia="仿宋_GB2312" w:cs="仿宋_GB2312"/>
          <w:b/>
          <w:bCs/>
          <w:color w:val="auto"/>
          <w:szCs w:val="28"/>
          <w:highlight w:val="none"/>
        </w:rPr>
        <w:t>：</w:t>
      </w:r>
    </w:p>
    <w:p w14:paraId="7C1F947A">
      <w:pPr>
        <w:pStyle w:val="3"/>
        <w:jc w:val="center"/>
        <w:rPr>
          <w:rFonts w:hint="eastAsia" w:ascii="仿宋_GB2312" w:hAnsi="仿宋_GB2312" w:eastAsia="仿宋_GB2312" w:cs="仿宋_GB2312"/>
          <w:b w:val="0"/>
          <w:bCs w:val="0"/>
          <w:color w:val="auto"/>
          <w:sz w:val="28"/>
          <w:szCs w:val="28"/>
          <w:highlight w:val="none"/>
        </w:rPr>
      </w:pPr>
      <w:bookmarkStart w:id="87" w:name="_Toc459025848"/>
      <w:bookmarkStart w:id="88" w:name="_Toc455477350"/>
      <w:bookmarkStart w:id="89" w:name="_Toc13453"/>
      <w:bookmarkStart w:id="90" w:name="_Toc19536"/>
      <w:r>
        <w:rPr>
          <w:rFonts w:hint="eastAsia" w:ascii="仿宋_GB2312" w:hAnsi="仿宋_GB2312" w:eastAsia="仿宋_GB2312" w:cs="仿宋_GB2312"/>
          <w:b w:val="0"/>
          <w:bCs w:val="0"/>
          <w:color w:val="auto"/>
          <w:sz w:val="28"/>
          <w:szCs w:val="28"/>
          <w:highlight w:val="none"/>
        </w:rPr>
        <w:t>四、</w:t>
      </w:r>
      <w:bookmarkEnd w:id="87"/>
      <w:bookmarkEnd w:id="88"/>
      <w:r>
        <w:rPr>
          <w:rFonts w:hint="eastAsia" w:ascii="仿宋_GB2312" w:hAnsi="仿宋_GB2312" w:eastAsia="仿宋_GB2312" w:cs="仿宋_GB2312"/>
          <w:b w:val="0"/>
          <w:bCs w:val="0"/>
          <w:color w:val="auto"/>
          <w:sz w:val="28"/>
          <w:szCs w:val="28"/>
          <w:highlight w:val="none"/>
          <w:lang w:val="en-US" w:eastAsia="zh-CN"/>
        </w:rPr>
        <w:t>一轮</w:t>
      </w:r>
      <w:r>
        <w:rPr>
          <w:rFonts w:hint="eastAsia" w:ascii="仿宋_GB2312" w:hAnsi="仿宋_GB2312" w:eastAsia="仿宋_GB2312" w:cs="仿宋_GB2312"/>
          <w:b w:val="0"/>
          <w:bCs w:val="0"/>
          <w:color w:val="auto"/>
          <w:sz w:val="28"/>
          <w:szCs w:val="28"/>
          <w:highlight w:val="none"/>
          <w:lang w:eastAsia="zh-CN"/>
        </w:rPr>
        <w:t>磋商</w:t>
      </w:r>
      <w:r>
        <w:rPr>
          <w:rFonts w:hint="eastAsia" w:ascii="仿宋_GB2312" w:hAnsi="仿宋_GB2312" w:eastAsia="仿宋_GB2312" w:cs="仿宋_GB2312"/>
          <w:b w:val="0"/>
          <w:bCs w:val="0"/>
          <w:color w:val="auto"/>
          <w:sz w:val="28"/>
          <w:szCs w:val="28"/>
          <w:highlight w:val="none"/>
        </w:rPr>
        <w:t>报价表</w:t>
      </w:r>
      <w:bookmarkEnd w:id="89"/>
      <w:bookmarkEnd w:id="90"/>
    </w:p>
    <w:p w14:paraId="1837259E">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74EAA29B">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bookmarkStart w:id="91" w:name="_Toc257360794"/>
            <w:bookmarkStart w:id="92" w:name="_Toc257360971"/>
            <w:bookmarkStart w:id="93" w:name="_Toc266431138"/>
            <w:bookmarkStart w:id="94" w:name="_Toc257989764"/>
            <w:bookmarkStart w:id="95" w:name="_Toc257990001"/>
            <w:r>
              <w:rPr>
                <w:rFonts w:hint="eastAsia" w:ascii="仿宋_GB2312" w:hAnsi="仿宋_GB2312" w:eastAsia="仿宋_GB2312" w:cs="仿宋_GB2312"/>
                <w:bCs/>
                <w:color w:val="auto"/>
                <w:sz w:val="24"/>
                <w:szCs w:val="24"/>
                <w:highlight w:val="none"/>
                <w:lang w:val="en-US" w:eastAsia="zh-CN"/>
              </w:rPr>
              <w:t>投标总报价</w:t>
            </w:r>
            <w:bookmarkEnd w:id="91"/>
            <w:bookmarkEnd w:id="92"/>
            <w:bookmarkEnd w:id="93"/>
            <w:bookmarkEnd w:id="94"/>
            <w:bookmarkEnd w:id="95"/>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bookmarkStart w:id="96" w:name="_Toc257360975"/>
            <w:bookmarkStart w:id="97" w:name="_Toc257990005"/>
            <w:bookmarkStart w:id="98" w:name="_Toc257360798"/>
            <w:bookmarkStart w:id="99" w:name="_Toc257989768"/>
            <w:bookmarkStart w:id="100" w:name="_Toc266431142"/>
            <w:r>
              <w:rPr>
                <w:rFonts w:hint="eastAsia" w:ascii="仿宋_GB2312" w:hAnsi="仿宋_GB2312" w:eastAsia="仿宋_GB2312" w:cs="仿宋_GB2312"/>
                <w:bCs/>
                <w:color w:val="auto"/>
                <w:sz w:val="24"/>
                <w:szCs w:val="24"/>
                <w:highlight w:val="none"/>
                <w:lang w:val="en-US" w:eastAsia="zh-CN"/>
              </w:rPr>
              <w:t>大写：</w:t>
            </w:r>
            <w:bookmarkEnd w:id="96"/>
            <w:bookmarkEnd w:id="97"/>
            <w:bookmarkEnd w:id="98"/>
            <w:bookmarkEnd w:id="99"/>
            <w:bookmarkEnd w:id="100"/>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bookmarkStart w:id="101" w:name="_Toc257990006"/>
            <w:bookmarkStart w:id="102" w:name="_Toc257360976"/>
            <w:bookmarkStart w:id="103" w:name="_Toc266431143"/>
            <w:bookmarkStart w:id="104" w:name="_Toc257989769"/>
            <w:bookmarkStart w:id="105" w:name="_Toc257360799"/>
            <w:r>
              <w:rPr>
                <w:rFonts w:hint="eastAsia" w:ascii="仿宋_GB2312" w:hAnsi="仿宋_GB2312" w:eastAsia="仿宋_GB2312" w:cs="仿宋_GB2312"/>
                <w:bCs/>
                <w:color w:val="auto"/>
                <w:sz w:val="24"/>
                <w:szCs w:val="24"/>
                <w:highlight w:val="none"/>
                <w:lang w:val="en-US" w:eastAsia="zh-CN"/>
              </w:rPr>
              <w:t>：</w:t>
            </w:r>
            <w:bookmarkEnd w:id="101"/>
            <w:bookmarkEnd w:id="102"/>
            <w:bookmarkEnd w:id="103"/>
            <w:bookmarkEnd w:id="104"/>
            <w:bookmarkEnd w:id="105"/>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0F56EDB7">
      <w:pPr>
        <w:adjustRightInd w:val="0"/>
        <w:snapToGrid w:val="0"/>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2．价格应按照“投标须知”的要求报价。</w:t>
      </w:r>
    </w:p>
    <w:p w14:paraId="256632DD">
      <w:pPr>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auto"/>
          <w:sz w:val="24"/>
          <w:szCs w:val="24"/>
          <w:highlight w:val="none"/>
        </w:rPr>
      </w:pPr>
    </w:p>
    <w:p w14:paraId="27414465">
      <w:pPr>
        <w:pStyle w:val="17"/>
        <w:ind w:right="560"/>
        <w:rPr>
          <w:rFonts w:hint="eastAsia" w:ascii="仿宋_GB2312" w:hAnsi="仿宋_GB2312" w:eastAsia="仿宋_GB2312" w:cs="仿宋_GB2312"/>
          <w:color w:val="auto"/>
          <w:sz w:val="24"/>
          <w:szCs w:val="24"/>
          <w:highlight w:val="none"/>
        </w:rPr>
      </w:pPr>
    </w:p>
    <w:p w14:paraId="09F1BD12">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53090DF">
      <w:pPr>
        <w:adjustRightInd w:val="0"/>
        <w:snapToGrid w:val="0"/>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24"/>
          <w:szCs w:val="24"/>
          <w:highlight w:val="none"/>
        </w:rPr>
        <w:br w:type="page"/>
      </w:r>
      <w:bookmarkStart w:id="106" w:name="_Toc13960"/>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二轮</w:t>
      </w:r>
      <w:r>
        <w:rPr>
          <w:rFonts w:hint="eastAsia" w:ascii="仿宋_GB2312" w:hAnsi="仿宋_GB2312" w:eastAsia="仿宋_GB2312" w:cs="仿宋_GB2312"/>
          <w:b w:val="0"/>
          <w:bCs w:val="0"/>
          <w:color w:val="auto"/>
          <w:highlight w:val="none"/>
          <w:lang w:eastAsia="zh-CN"/>
        </w:rPr>
        <w:t>磋商</w:t>
      </w:r>
      <w:r>
        <w:rPr>
          <w:rFonts w:hint="eastAsia" w:ascii="仿宋_GB2312" w:hAnsi="仿宋_GB2312" w:eastAsia="仿宋_GB2312" w:cs="仿宋_GB2312"/>
          <w:b w:val="0"/>
          <w:bCs w:val="0"/>
          <w:color w:val="auto"/>
          <w:highlight w:val="none"/>
        </w:rPr>
        <w:t>报价表</w:t>
      </w:r>
      <w:bookmarkEnd w:id="106"/>
    </w:p>
    <w:p w14:paraId="2AB185E1">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1E179595">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auto"/>
          <w:sz w:val="24"/>
          <w:szCs w:val="24"/>
          <w:highlight w:val="none"/>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 xml:space="preserve">    </w:t>
      </w:r>
      <w:r>
        <w:rPr>
          <w:rFonts w:hint="eastAsia" w:ascii="仿宋_GB2312" w:hAnsi="仿宋_GB2312" w:eastAsia="仿宋_GB2312" w:cs="仿宋_GB2312"/>
          <w:b/>
          <w:bCs w:val="0"/>
          <w:color w:val="auto"/>
          <w:sz w:val="24"/>
          <w:szCs w:val="24"/>
          <w:highlight w:val="none"/>
        </w:rPr>
        <w:t>3．</w:t>
      </w:r>
      <w:r>
        <w:rPr>
          <w:rFonts w:hint="eastAsia" w:ascii="仿宋_GB2312" w:hAnsi="仿宋_GB2312" w:eastAsia="仿宋_GB2312" w:cs="仿宋_GB2312"/>
          <w:b/>
          <w:color w:val="auto"/>
          <w:sz w:val="24"/>
          <w:highlight w:val="none"/>
        </w:rPr>
        <w:t>此表</w:t>
      </w:r>
      <w:r>
        <w:rPr>
          <w:rFonts w:hint="eastAsia" w:ascii="仿宋_GB2312" w:hAnsi="仿宋_GB2312" w:eastAsia="仿宋_GB2312" w:cs="仿宋_GB2312"/>
          <w:b/>
          <w:color w:val="auto"/>
          <w:sz w:val="24"/>
          <w:highlight w:val="none"/>
          <w:lang w:eastAsia="zh-CN"/>
        </w:rPr>
        <w:t>为</w:t>
      </w:r>
      <w:r>
        <w:rPr>
          <w:rFonts w:hint="eastAsia" w:ascii="仿宋_GB2312" w:hAnsi="仿宋_GB2312" w:eastAsia="仿宋_GB2312" w:cs="仿宋_GB2312"/>
          <w:b/>
          <w:color w:val="auto"/>
          <w:sz w:val="24"/>
          <w:highlight w:val="none"/>
          <w:lang w:val="en-US" w:eastAsia="zh-CN"/>
        </w:rPr>
        <w:t>空表，加</w:t>
      </w:r>
      <w:r>
        <w:rPr>
          <w:rFonts w:hint="eastAsia" w:ascii="仿宋_GB2312" w:hAnsi="仿宋_GB2312" w:eastAsia="仿宋_GB2312" w:cs="仿宋_GB2312"/>
          <w:b/>
          <w:color w:val="auto"/>
          <w:sz w:val="24"/>
          <w:highlight w:val="none"/>
        </w:rPr>
        <w:t>盖公章</w:t>
      </w:r>
      <w:r>
        <w:rPr>
          <w:rFonts w:hint="eastAsia" w:ascii="仿宋_GB2312" w:hAnsi="仿宋_GB2312" w:eastAsia="仿宋_GB2312" w:cs="仿宋_GB2312"/>
          <w:b/>
          <w:color w:val="auto"/>
          <w:sz w:val="24"/>
          <w:highlight w:val="none"/>
          <w:lang w:eastAsia="zh-CN"/>
        </w:rPr>
        <w:t>后，由授权委托人手持</w:t>
      </w:r>
      <w:r>
        <w:rPr>
          <w:rFonts w:hint="eastAsia" w:ascii="仿宋_GB2312" w:hAnsi="仿宋_GB2312" w:eastAsia="仿宋_GB2312" w:cs="仿宋_GB2312"/>
          <w:b/>
          <w:color w:val="auto"/>
          <w:sz w:val="24"/>
          <w:highlight w:val="none"/>
        </w:rPr>
        <w:t>，在开标现场填写，进行第</w:t>
      </w:r>
      <w:r>
        <w:rPr>
          <w:rFonts w:hint="eastAsia" w:ascii="仿宋_GB2312" w:hAnsi="仿宋_GB2312" w:eastAsia="仿宋_GB2312" w:cs="仿宋_GB2312"/>
          <w:b/>
          <w:color w:val="auto"/>
          <w:sz w:val="24"/>
          <w:highlight w:val="none"/>
          <w:lang w:val="en-US" w:eastAsia="zh-CN"/>
        </w:rPr>
        <w:t>二次</w:t>
      </w:r>
      <w:r>
        <w:rPr>
          <w:rFonts w:hint="eastAsia" w:ascii="仿宋_GB2312" w:hAnsi="仿宋_GB2312" w:eastAsia="仿宋_GB2312" w:cs="仿宋_GB2312"/>
          <w:b/>
          <w:color w:val="auto"/>
          <w:sz w:val="24"/>
          <w:highlight w:val="none"/>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Cs/>
          <w:color w:val="auto"/>
          <w:sz w:val="24"/>
          <w:szCs w:val="24"/>
          <w:highlight w:val="none"/>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auto"/>
          <w:kern w:val="0"/>
          <w:sz w:val="24"/>
          <w:highlight w:val="none"/>
        </w:rPr>
      </w:pPr>
    </w:p>
    <w:p w14:paraId="2A31CD61">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w:t>
      </w:r>
      <w:bookmarkStart w:id="107" w:name="OLE_LINK13"/>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B695363">
      <w:pPr>
        <w:adjustRightInd w:val="0"/>
        <w:snapToGrid w:val="0"/>
        <w:spacing w:line="460" w:lineRule="exact"/>
        <w:rPr>
          <w:rFonts w:hint="eastAsia" w:ascii="仿宋_GB2312" w:hAnsi="仿宋_GB2312" w:eastAsia="仿宋_GB2312" w:cs="仿宋_GB2312"/>
          <w:color w:val="auto"/>
          <w:sz w:val="24"/>
          <w:highlight w:val="none"/>
        </w:rPr>
      </w:pPr>
    </w:p>
    <w:p w14:paraId="6EE4CE94">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bookmarkEnd w:id="107"/>
    </w:p>
    <w:p w14:paraId="44AF4182">
      <w:pPr>
        <w:autoSpaceDE w:val="0"/>
        <w:autoSpaceDN w:val="0"/>
        <w:spacing w:line="460" w:lineRule="exact"/>
        <w:jc w:val="center"/>
        <w:rPr>
          <w:rFonts w:hint="eastAsia" w:ascii="仿宋_GB2312" w:hAnsi="仿宋_GB2312" w:eastAsia="仿宋_GB2312" w:cs="仿宋_GB2312"/>
          <w:color w:val="auto"/>
          <w:sz w:val="28"/>
          <w:szCs w:val="28"/>
          <w:highlight w:val="none"/>
        </w:rPr>
      </w:pPr>
    </w:p>
    <w:p w14:paraId="00BD17F5">
      <w:pPr>
        <w:widowControl/>
        <w:rPr>
          <w:rFonts w:hint="eastAsia" w:ascii="仿宋_GB2312" w:hAnsi="仿宋_GB2312" w:eastAsia="仿宋_GB2312" w:cs="仿宋_GB2312"/>
          <w:b/>
          <w:bCs/>
          <w:color w:val="auto"/>
          <w:sz w:val="24"/>
          <w:szCs w:val="24"/>
          <w:highlight w:val="none"/>
        </w:rPr>
      </w:pPr>
    </w:p>
    <w:p w14:paraId="7D315699">
      <w:pPr>
        <w:widowControl/>
        <w:rPr>
          <w:rFonts w:hint="eastAsia" w:ascii="仿宋_GB2312" w:hAnsi="仿宋_GB2312" w:eastAsia="仿宋_GB2312" w:cs="仿宋_GB2312"/>
          <w:color w:val="auto"/>
          <w:szCs w:val="28"/>
          <w:highlight w:val="none"/>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p>
    <w:p w14:paraId="1E1957F0">
      <w:pPr>
        <w:rPr>
          <w:rFonts w:hint="eastAsia" w:ascii="仿宋_GB2312" w:hAnsi="仿宋_GB2312" w:eastAsia="仿宋_GB2312" w:cs="仿宋_GB2312"/>
          <w:color w:val="auto"/>
          <w:szCs w:val="28"/>
          <w:highlight w:val="none"/>
        </w:rPr>
      </w:pPr>
    </w:p>
    <w:p w14:paraId="220895C6">
      <w:pPr>
        <w:widowControl/>
        <w:rPr>
          <w:rFonts w:hint="eastAsia" w:ascii="仿宋_GB2312" w:hAnsi="仿宋_GB2312" w:eastAsia="仿宋_GB2312" w:cs="仿宋_GB2312"/>
          <w:color w:val="auto"/>
          <w:szCs w:val="28"/>
          <w:highlight w:val="none"/>
        </w:rPr>
      </w:pPr>
    </w:p>
    <w:p w14:paraId="7C13C50B">
      <w:pPr>
        <w:widowControl/>
        <w:rPr>
          <w:rFonts w:hint="eastAsia" w:ascii="仿宋_GB2312" w:hAnsi="仿宋_GB2312" w:eastAsia="仿宋_GB2312" w:cs="仿宋_GB2312"/>
          <w:color w:val="auto"/>
          <w:szCs w:val="28"/>
          <w:highlight w:val="none"/>
        </w:rPr>
      </w:pPr>
    </w:p>
    <w:p w14:paraId="3A7E915D">
      <w:pPr>
        <w:widowControl/>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格式七</w:t>
      </w:r>
      <w:r>
        <w:rPr>
          <w:rFonts w:hint="eastAsia" w:ascii="仿宋_GB2312" w:hAnsi="仿宋_GB2312" w:eastAsia="仿宋_GB2312" w:cs="仿宋_GB2312"/>
          <w:b/>
          <w:bCs/>
          <w:color w:val="auto"/>
          <w:szCs w:val="28"/>
          <w:highlight w:val="none"/>
        </w:rPr>
        <w:t>：</w:t>
      </w:r>
    </w:p>
    <w:p w14:paraId="61E2AF7F">
      <w:pPr>
        <w:widowControl/>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五、</w:t>
      </w:r>
      <w:r>
        <w:rPr>
          <w:rFonts w:hint="eastAsia" w:ascii="仿宋_GB2312" w:hAnsi="仿宋_GB2312" w:eastAsia="仿宋_GB2312" w:cs="仿宋_GB2312"/>
          <w:b w:val="0"/>
          <w:bCs w:val="0"/>
          <w:color w:val="auto"/>
          <w:spacing w:val="1"/>
          <w:sz w:val="28"/>
          <w:szCs w:val="28"/>
          <w:highlight w:val="none"/>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auto"/>
          <w:highlight w:val="none"/>
        </w:rPr>
      </w:pPr>
      <w:bookmarkStart w:id="108" w:name="_Toc21059"/>
      <w:bookmarkStart w:id="109" w:name="_Toc28280"/>
      <w:r>
        <w:rPr>
          <w:rFonts w:hint="eastAsia" w:ascii="仿宋_GB2312" w:hAnsi="仿宋_GB2312" w:eastAsia="仿宋_GB2312" w:cs="仿宋_GB2312"/>
          <w:color w:val="auto"/>
          <w:highlight w:val="none"/>
        </w:rPr>
        <w:t>（一）基本情况表</w:t>
      </w:r>
      <w:bookmarkEnd w:id="108"/>
      <w:bookmarkEnd w:id="109"/>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auto"/>
                <w:sz w:val="24"/>
                <w:szCs w:val="24"/>
                <w:highlight w:val="none"/>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auto"/>
                <w:sz w:val="24"/>
                <w:szCs w:val="24"/>
                <w:highlight w:val="none"/>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auto"/>
                <w:sz w:val="24"/>
                <w:szCs w:val="24"/>
                <w:highlight w:val="none"/>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auto"/>
                <w:sz w:val="24"/>
                <w:szCs w:val="24"/>
                <w:highlight w:val="none"/>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auto"/>
                <w:sz w:val="24"/>
                <w:szCs w:val="24"/>
                <w:highlight w:val="none"/>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auto"/>
                <w:sz w:val="24"/>
                <w:szCs w:val="24"/>
                <w:highlight w:val="none"/>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14:paraId="1ABBF464">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auto"/>
                <w:sz w:val="24"/>
                <w:szCs w:val="24"/>
                <w:highlight w:val="none"/>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类型：等级：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auto"/>
                <w:sz w:val="24"/>
                <w:szCs w:val="24"/>
                <w:highlight w:val="none"/>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auto"/>
                <w:sz w:val="24"/>
                <w:szCs w:val="24"/>
                <w:highlight w:val="none"/>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auto"/>
                <w:sz w:val="24"/>
                <w:szCs w:val="24"/>
                <w:highlight w:val="none"/>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w:t>
            </w:r>
            <w:r>
              <w:rPr>
                <w:rFonts w:hint="eastAsia" w:ascii="仿宋_GB2312" w:hAnsi="仿宋_GB2312" w:eastAsia="仿宋_GB2312" w:cs="仿宋_GB2312"/>
                <w:color w:val="auto"/>
                <w:sz w:val="24"/>
                <w:szCs w:val="24"/>
                <w:highlight w:val="none"/>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auto"/>
                <w:sz w:val="24"/>
                <w:szCs w:val="24"/>
                <w:highlight w:val="none"/>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auto"/>
                <w:sz w:val="24"/>
                <w:szCs w:val="24"/>
                <w:highlight w:val="none"/>
              </w:rPr>
            </w:pPr>
          </w:p>
        </w:tc>
      </w:tr>
    </w:tbl>
    <w:p w14:paraId="1B43F6DD">
      <w:pPr>
        <w:spacing w:line="400" w:lineRule="exact"/>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auto"/>
          <w:highlight w:val="none"/>
          <w:u w:val="single"/>
        </w:rPr>
      </w:pPr>
    </w:p>
    <w:p w14:paraId="1A052814">
      <w:pPr>
        <w:rPr>
          <w:rFonts w:hint="eastAsia" w:ascii="仿宋_GB2312" w:hAnsi="仿宋_GB2312" w:eastAsia="仿宋_GB2312" w:cs="仿宋_GB2312"/>
          <w:color w:val="auto"/>
          <w:szCs w:val="28"/>
          <w:highlight w:val="none"/>
        </w:rPr>
      </w:pPr>
    </w:p>
    <w:p w14:paraId="252C0E54">
      <w:pPr>
        <w:rPr>
          <w:rFonts w:hint="eastAsia" w:ascii="仿宋_GB2312" w:hAnsi="仿宋_GB2312" w:eastAsia="仿宋_GB2312" w:cs="仿宋_GB2312"/>
          <w:color w:val="auto"/>
          <w:szCs w:val="28"/>
          <w:highlight w:val="none"/>
        </w:rPr>
      </w:pPr>
    </w:p>
    <w:p w14:paraId="6D9F338C">
      <w:pPr>
        <w:spacing w:before="209" w:line="329" w:lineRule="exact"/>
        <w:jc w:val="both"/>
        <w:rPr>
          <w:rFonts w:hint="eastAsia" w:ascii="仿宋_GB2312" w:hAnsi="仿宋_GB2312" w:eastAsia="仿宋_GB2312" w:cs="仿宋_GB2312"/>
          <w:color w:val="auto"/>
          <w:spacing w:val="1"/>
          <w:sz w:val="32"/>
          <w:szCs w:val="22"/>
          <w:highlight w:val="none"/>
          <w:lang w:val="en-US" w:eastAsia="zh-CN" w:bidi="ar-SA"/>
        </w:rPr>
      </w:pPr>
      <w:r>
        <w:rPr>
          <w:rFonts w:hint="eastAsia" w:ascii="仿宋_GB2312" w:hAnsi="仿宋_GB2312" w:eastAsia="仿宋_GB2312" w:cs="仿宋_GB2312"/>
          <w:color w:val="auto"/>
          <w:highlight w:val="none"/>
        </w:rPr>
        <w:t>格式八 ：</w:t>
      </w:r>
    </w:p>
    <w:p w14:paraId="371C04F3">
      <w:pPr>
        <w:jc w:val="center"/>
        <w:rPr>
          <w:rFonts w:hint="eastAsia" w:ascii="仿宋_GB2312" w:hAnsi="仿宋_GB2312" w:eastAsia="仿宋_GB2312" w:cs="仿宋_GB2312"/>
          <w:b w:val="0"/>
          <w:bCs w:val="0"/>
          <w:color w:val="auto"/>
          <w:spacing w:val="1"/>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zh-CN" w:bidi="ar-SA"/>
        </w:rPr>
        <w:t>六</w:t>
      </w:r>
      <w:r>
        <w:rPr>
          <w:rFonts w:hint="eastAsia" w:ascii="仿宋_GB2312" w:hAnsi="仿宋_GB2312" w:eastAsia="仿宋_GB2312" w:cs="仿宋_GB2312"/>
          <w:b w:val="0"/>
          <w:bCs w:val="0"/>
          <w:color w:val="auto"/>
          <w:spacing w:val="1"/>
          <w:sz w:val="28"/>
          <w:szCs w:val="28"/>
          <w:highlight w:val="none"/>
          <w:lang w:val="en-US" w:eastAsia="en-US" w:bidi="ar-SA"/>
        </w:rPr>
        <w:t>、</w:t>
      </w:r>
      <w:bookmarkStart w:id="110" w:name="_Toc8008_WPSOffice_Level2"/>
      <w:r>
        <w:rPr>
          <w:rFonts w:hint="eastAsia" w:ascii="仿宋_GB2312" w:hAnsi="仿宋_GB2312" w:eastAsia="仿宋_GB2312" w:cs="仿宋_GB2312"/>
          <w:b w:val="0"/>
          <w:bCs w:val="0"/>
          <w:color w:val="auto"/>
          <w:spacing w:val="1"/>
          <w:sz w:val="28"/>
          <w:szCs w:val="28"/>
          <w:highlight w:val="none"/>
          <w:lang w:val="en-US" w:eastAsia="zh-CN" w:bidi="ar-SA"/>
        </w:rPr>
        <w:t>投标预算</w:t>
      </w:r>
    </w:p>
    <w:p w14:paraId="2213A4A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D05F2FF">
      <w:pPr>
        <w:rPr>
          <w:rFonts w:hint="eastAsia" w:ascii="仿宋_GB2312" w:hAnsi="仿宋_GB2312" w:eastAsia="仿宋_GB2312" w:cs="仿宋_GB2312"/>
          <w:b w:val="0"/>
          <w:bCs w:val="0"/>
          <w:color w:val="auto"/>
          <w:spacing w:val="1"/>
          <w:sz w:val="28"/>
          <w:szCs w:val="28"/>
          <w:highlight w:val="none"/>
          <w:lang w:val="en-US" w:eastAsia="en-US" w:bidi="ar-SA"/>
        </w:rPr>
      </w:pPr>
    </w:p>
    <w:p w14:paraId="5DE7D50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822EBB8">
      <w:pPr>
        <w:rPr>
          <w:rFonts w:hint="eastAsia" w:ascii="仿宋_GB2312" w:hAnsi="仿宋_GB2312" w:eastAsia="仿宋_GB2312" w:cs="仿宋_GB2312"/>
          <w:b w:val="0"/>
          <w:bCs w:val="0"/>
          <w:color w:val="auto"/>
          <w:spacing w:val="1"/>
          <w:sz w:val="28"/>
          <w:szCs w:val="28"/>
          <w:highlight w:val="none"/>
          <w:lang w:val="en-US" w:eastAsia="en-US" w:bidi="ar-SA"/>
        </w:rPr>
      </w:pPr>
    </w:p>
    <w:p w14:paraId="4BC5DA5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457506B">
      <w:pPr>
        <w:rPr>
          <w:rFonts w:hint="eastAsia" w:ascii="仿宋_GB2312" w:hAnsi="仿宋_GB2312" w:eastAsia="仿宋_GB2312" w:cs="仿宋_GB2312"/>
          <w:b w:val="0"/>
          <w:bCs w:val="0"/>
          <w:color w:val="auto"/>
          <w:spacing w:val="1"/>
          <w:sz w:val="28"/>
          <w:szCs w:val="28"/>
          <w:highlight w:val="none"/>
          <w:lang w:val="en-US" w:eastAsia="en-US" w:bidi="ar-SA"/>
        </w:rPr>
      </w:pPr>
    </w:p>
    <w:p w14:paraId="7F2C613B">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23B7823C">
      <w:pPr>
        <w:rPr>
          <w:rFonts w:hint="eastAsia" w:ascii="仿宋_GB2312" w:hAnsi="仿宋_GB2312" w:eastAsia="仿宋_GB2312" w:cs="仿宋_GB2312"/>
          <w:b w:val="0"/>
          <w:bCs w:val="0"/>
          <w:color w:val="auto"/>
          <w:spacing w:val="1"/>
          <w:sz w:val="28"/>
          <w:szCs w:val="28"/>
          <w:highlight w:val="none"/>
          <w:lang w:val="en-US" w:eastAsia="en-US" w:bidi="ar-SA"/>
        </w:rPr>
      </w:pPr>
    </w:p>
    <w:p w14:paraId="202807E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4E59D63">
      <w:pPr>
        <w:rPr>
          <w:rFonts w:hint="eastAsia" w:ascii="仿宋_GB2312" w:hAnsi="仿宋_GB2312" w:eastAsia="仿宋_GB2312" w:cs="仿宋_GB2312"/>
          <w:b w:val="0"/>
          <w:bCs w:val="0"/>
          <w:color w:val="auto"/>
          <w:spacing w:val="1"/>
          <w:sz w:val="28"/>
          <w:szCs w:val="28"/>
          <w:highlight w:val="none"/>
          <w:lang w:val="en-US" w:eastAsia="en-US" w:bidi="ar-SA"/>
        </w:rPr>
      </w:pPr>
    </w:p>
    <w:p w14:paraId="37421B1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420AA922">
      <w:pPr>
        <w:rPr>
          <w:rFonts w:hint="eastAsia" w:ascii="仿宋_GB2312" w:hAnsi="仿宋_GB2312" w:eastAsia="仿宋_GB2312" w:cs="仿宋_GB2312"/>
          <w:b w:val="0"/>
          <w:bCs w:val="0"/>
          <w:color w:val="auto"/>
          <w:spacing w:val="1"/>
          <w:sz w:val="28"/>
          <w:szCs w:val="28"/>
          <w:highlight w:val="none"/>
          <w:lang w:val="en-US" w:eastAsia="en-US" w:bidi="ar-SA"/>
        </w:rPr>
      </w:pPr>
    </w:p>
    <w:p w14:paraId="1216B2CC">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0FD0871E">
      <w:pPr>
        <w:rPr>
          <w:rFonts w:hint="eastAsia" w:ascii="仿宋_GB2312" w:hAnsi="仿宋_GB2312" w:eastAsia="仿宋_GB2312" w:cs="仿宋_GB2312"/>
          <w:b w:val="0"/>
          <w:bCs w:val="0"/>
          <w:color w:val="auto"/>
          <w:spacing w:val="1"/>
          <w:sz w:val="28"/>
          <w:szCs w:val="28"/>
          <w:highlight w:val="none"/>
          <w:lang w:val="en-US" w:eastAsia="en-US" w:bidi="ar-SA"/>
        </w:rPr>
      </w:pPr>
    </w:p>
    <w:bookmarkEnd w:id="110"/>
    <w:p w14:paraId="2AB77158">
      <w:pPr>
        <w:jc w:val="both"/>
        <w:rPr>
          <w:rFonts w:hint="eastAsia" w:ascii="仿宋_GB2312" w:hAnsi="仿宋_GB2312" w:eastAsia="仿宋_GB2312" w:cs="仿宋_GB2312"/>
          <w:color w:val="auto"/>
          <w:highlight w:val="none"/>
        </w:rPr>
      </w:pPr>
    </w:p>
    <w:p w14:paraId="52E98F9F">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九</w:t>
      </w:r>
      <w:r>
        <w:rPr>
          <w:rFonts w:hint="eastAsia" w:ascii="仿宋_GB2312" w:hAnsi="仿宋_GB2312" w:eastAsia="仿宋_GB2312" w:cs="仿宋_GB2312"/>
          <w:color w:val="auto"/>
          <w:highlight w:val="none"/>
        </w:rPr>
        <w:t xml:space="preserve"> ：</w:t>
      </w:r>
    </w:p>
    <w:p w14:paraId="4318E87D">
      <w:pPr>
        <w:pStyle w:val="71"/>
        <w:jc w:val="center"/>
        <w:rPr>
          <w:rFonts w:hint="eastAsia" w:ascii="仿宋_GB2312" w:hAnsi="仿宋_GB2312" w:eastAsia="仿宋_GB2312" w:cs="仿宋_GB2312"/>
          <w:b w:val="0"/>
          <w:bCs w:val="0"/>
          <w:color w:val="auto"/>
          <w:sz w:val="28"/>
          <w:szCs w:val="21"/>
          <w:highlight w:val="none"/>
          <w:lang w:val="en-US" w:eastAsia="zh-CN"/>
        </w:rPr>
      </w:pPr>
      <w:r>
        <w:rPr>
          <w:rFonts w:hint="eastAsia" w:ascii="仿宋_GB2312" w:hAnsi="仿宋_GB2312" w:eastAsia="仿宋_GB2312" w:cs="仿宋_GB2312"/>
          <w:b w:val="0"/>
          <w:bCs w:val="0"/>
          <w:color w:val="auto"/>
          <w:sz w:val="28"/>
          <w:szCs w:val="21"/>
          <w:highlight w:val="none"/>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702" w:type="dxa"/>
            <w:vMerge w:val="restart"/>
            <w:noWrap w:val="0"/>
            <w:vAlign w:val="center"/>
          </w:tcPr>
          <w:p w14:paraId="66FCA12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703" w:type="dxa"/>
            <w:vMerge w:val="restart"/>
            <w:noWrap w:val="0"/>
            <w:vAlign w:val="center"/>
          </w:tcPr>
          <w:p w14:paraId="6B64B5E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5365" w:type="dxa"/>
            <w:gridSpan w:val="5"/>
            <w:noWrap w:val="0"/>
            <w:vAlign w:val="center"/>
          </w:tcPr>
          <w:p w14:paraId="36F133F7">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auto"/>
                <w:sz w:val="24"/>
                <w:highlight w:val="none"/>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auto"/>
                <w:sz w:val="24"/>
                <w:highlight w:val="none"/>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auto"/>
                <w:sz w:val="24"/>
                <w:highlight w:val="none"/>
              </w:rPr>
            </w:pPr>
          </w:p>
        </w:tc>
        <w:tc>
          <w:tcPr>
            <w:tcW w:w="867" w:type="dxa"/>
            <w:noWrap w:val="0"/>
            <w:vAlign w:val="center"/>
          </w:tcPr>
          <w:p w14:paraId="365FE61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auto"/>
                <w:sz w:val="24"/>
                <w:highlight w:val="none"/>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726DDE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5BE2C0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369E56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4677A98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26427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152A0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872D3F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7956C935">
            <w:pPr>
              <w:spacing w:line="400" w:lineRule="exact"/>
              <w:rPr>
                <w:rFonts w:hint="eastAsia" w:ascii="仿宋_GB2312" w:hAnsi="仿宋_GB2312" w:eastAsia="仿宋_GB2312" w:cs="仿宋_GB2312"/>
                <w:color w:val="auto"/>
                <w:sz w:val="24"/>
                <w:highlight w:val="none"/>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2147CDF6">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38F79DB7">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ED613AF">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6B05C3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6869D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E4D9D1A">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1F8193">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4F1AC13">
            <w:pPr>
              <w:spacing w:line="400" w:lineRule="exact"/>
              <w:rPr>
                <w:rFonts w:hint="eastAsia" w:ascii="仿宋_GB2312" w:hAnsi="仿宋_GB2312" w:eastAsia="仿宋_GB2312" w:cs="仿宋_GB2312"/>
                <w:color w:val="auto"/>
                <w:sz w:val="24"/>
                <w:highlight w:val="none"/>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788097AF">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57996E4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5F23C389">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D1D3ED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AC5473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71022FB">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CAAEA5B">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3A72024E">
            <w:pPr>
              <w:spacing w:line="400" w:lineRule="exact"/>
              <w:rPr>
                <w:rFonts w:hint="eastAsia" w:ascii="仿宋_GB2312" w:hAnsi="仿宋_GB2312" w:eastAsia="仿宋_GB2312" w:cs="仿宋_GB2312"/>
                <w:color w:val="auto"/>
                <w:sz w:val="24"/>
                <w:highlight w:val="none"/>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06DE2E9">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817D79A">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A22FAB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C0061D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7AFC2AC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0933FFE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72A85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39BA23D">
            <w:pPr>
              <w:spacing w:line="400" w:lineRule="exact"/>
              <w:rPr>
                <w:rFonts w:hint="eastAsia" w:ascii="仿宋_GB2312" w:hAnsi="仿宋_GB2312" w:eastAsia="仿宋_GB2312" w:cs="仿宋_GB2312"/>
                <w:color w:val="auto"/>
                <w:sz w:val="24"/>
                <w:highlight w:val="none"/>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F79A401">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74E13496">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2E7E3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38062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9DEA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9E98D85">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38ADE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55B28DD9">
            <w:pPr>
              <w:spacing w:line="400" w:lineRule="exact"/>
              <w:rPr>
                <w:rFonts w:hint="eastAsia" w:ascii="仿宋_GB2312" w:hAnsi="仿宋_GB2312" w:eastAsia="仿宋_GB2312" w:cs="仿宋_GB2312"/>
                <w:color w:val="auto"/>
                <w:sz w:val="24"/>
                <w:highlight w:val="none"/>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EB25273">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F1D029">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D0A77EB">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87BBDB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79D6E4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BF31BB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E4F13AF">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7E41D0C">
            <w:pPr>
              <w:spacing w:line="400" w:lineRule="exact"/>
              <w:rPr>
                <w:rFonts w:hint="eastAsia" w:ascii="仿宋_GB2312" w:hAnsi="仿宋_GB2312" w:eastAsia="仿宋_GB2312" w:cs="仿宋_GB2312"/>
                <w:color w:val="auto"/>
                <w:sz w:val="24"/>
                <w:highlight w:val="none"/>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5980550">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4E1FD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1F3B96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7DC6960">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D6C0C3D">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7C0F99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917BB1E">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2D7C8A4">
            <w:pPr>
              <w:spacing w:line="400" w:lineRule="exact"/>
              <w:rPr>
                <w:rFonts w:hint="eastAsia" w:ascii="仿宋_GB2312" w:hAnsi="仿宋_GB2312" w:eastAsia="仿宋_GB2312" w:cs="仿宋_GB2312"/>
                <w:color w:val="auto"/>
                <w:sz w:val="24"/>
                <w:highlight w:val="none"/>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1043E0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60EFEC8">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11F22DB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09D176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9A614F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9C593D3">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AD22E5D">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269CFC4A">
            <w:pPr>
              <w:spacing w:line="400" w:lineRule="exact"/>
              <w:rPr>
                <w:rFonts w:hint="eastAsia" w:ascii="仿宋_GB2312" w:hAnsi="仿宋_GB2312" w:eastAsia="仿宋_GB2312" w:cs="仿宋_GB2312"/>
                <w:color w:val="auto"/>
                <w:sz w:val="24"/>
                <w:highlight w:val="none"/>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65744D8">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9CB1623">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975CB8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4E542BF">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199D254">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72A87B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3EB39D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3B090A2">
            <w:pPr>
              <w:spacing w:line="400" w:lineRule="exact"/>
              <w:rPr>
                <w:rFonts w:hint="eastAsia" w:ascii="仿宋_GB2312" w:hAnsi="仿宋_GB2312" w:eastAsia="仿宋_GB2312" w:cs="仿宋_GB2312"/>
                <w:color w:val="auto"/>
                <w:sz w:val="24"/>
                <w:highlight w:val="none"/>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一旦我单位中标，将实行项目</w:t>
            </w:r>
            <w:r>
              <w:rPr>
                <w:rFonts w:hint="eastAsia" w:ascii="仿宋_GB2312" w:hAnsi="仿宋_GB2312" w:eastAsia="仿宋_GB2312" w:cs="仿宋_GB2312"/>
                <w:color w:val="auto"/>
                <w:sz w:val="24"/>
                <w:highlight w:val="none"/>
                <w:lang w:val="en-US" w:eastAsia="zh-CN"/>
              </w:rPr>
              <w:t>负责人</w:t>
            </w:r>
            <w:r>
              <w:rPr>
                <w:rFonts w:hint="eastAsia" w:ascii="仿宋_GB2312" w:hAnsi="仿宋_GB2312" w:eastAsia="仿宋_GB2312" w:cs="仿宋_GB2312"/>
                <w:color w:val="auto"/>
                <w:sz w:val="24"/>
                <w:highlight w:val="none"/>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十</w:t>
      </w:r>
      <w:r>
        <w:rPr>
          <w:rFonts w:hint="eastAsia" w:ascii="仿宋_GB2312" w:hAnsi="仿宋_GB2312" w:eastAsia="仿宋_GB2312" w:cs="仿宋_GB2312"/>
          <w:color w:val="auto"/>
          <w:highlight w:val="none"/>
        </w:rPr>
        <w:t xml:space="preserve"> ：</w:t>
      </w:r>
    </w:p>
    <w:p w14:paraId="12E9D5A9">
      <w:pPr>
        <w:pStyle w:val="7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八、</w:t>
      </w:r>
      <w:r>
        <w:rPr>
          <w:rFonts w:hint="eastAsia" w:ascii="仿宋_GB2312" w:hAnsi="仿宋_GB2312" w:eastAsia="仿宋_GB2312" w:cs="仿宋_GB2312"/>
          <w:b w:val="0"/>
          <w:bCs w:val="0"/>
          <w:color w:val="auto"/>
          <w:spacing w:val="1"/>
          <w:sz w:val="28"/>
          <w:szCs w:val="28"/>
          <w:highlight w:val="none"/>
          <w:lang w:val="en-US" w:eastAsia="en-US" w:bidi="ar-SA"/>
        </w:rPr>
        <w:t>项目</w:t>
      </w:r>
      <w:r>
        <w:rPr>
          <w:rFonts w:hint="eastAsia" w:ascii="仿宋_GB2312" w:hAnsi="仿宋_GB2312" w:eastAsia="仿宋_GB2312" w:cs="仿宋_GB2312"/>
          <w:color w:val="auto"/>
          <w:spacing w:val="1"/>
          <w:sz w:val="28"/>
          <w:szCs w:val="28"/>
          <w:highlight w:val="none"/>
          <w:lang w:val="en-US" w:eastAsia="zh-CN" w:bidi="ar-SA"/>
        </w:rPr>
        <w:t>经理</w:t>
      </w:r>
      <w:r>
        <w:rPr>
          <w:rFonts w:hint="eastAsia" w:ascii="仿宋_GB2312" w:hAnsi="仿宋_GB2312" w:eastAsia="仿宋_GB2312" w:cs="仿宋_GB2312"/>
          <w:color w:val="auto"/>
          <w:spacing w:val="1"/>
          <w:sz w:val="28"/>
          <w:szCs w:val="28"/>
          <w:highlight w:val="none"/>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2190" w:type="dxa"/>
            <w:noWrap w:val="0"/>
            <w:vAlign w:val="top"/>
          </w:tcPr>
          <w:p w14:paraId="4786F8C8">
            <w:pPr>
              <w:spacing w:line="400" w:lineRule="exact"/>
              <w:rPr>
                <w:rFonts w:hint="eastAsia" w:ascii="仿宋_GB2312" w:hAnsi="仿宋_GB2312" w:eastAsia="仿宋_GB2312" w:cs="仿宋_GB2312"/>
                <w:color w:val="auto"/>
                <w:sz w:val="24"/>
                <w:szCs w:val="24"/>
                <w:highlight w:val="none"/>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2190" w:type="dxa"/>
            <w:noWrap w:val="0"/>
            <w:vAlign w:val="top"/>
          </w:tcPr>
          <w:p w14:paraId="6EBAFDED">
            <w:pPr>
              <w:spacing w:line="400" w:lineRule="exact"/>
              <w:rPr>
                <w:rFonts w:hint="eastAsia" w:ascii="仿宋_GB2312" w:hAnsi="仿宋_GB2312" w:eastAsia="仿宋_GB2312" w:cs="仿宋_GB2312"/>
                <w:color w:val="auto"/>
                <w:sz w:val="24"/>
                <w:szCs w:val="24"/>
                <w:highlight w:val="none"/>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B99E81">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168BA8A5">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18048C2E">
            <w:pPr>
              <w:spacing w:line="400" w:lineRule="exact"/>
              <w:rPr>
                <w:rFonts w:hint="eastAsia" w:ascii="仿宋_GB2312" w:hAnsi="仿宋_GB2312" w:eastAsia="仿宋_GB2312" w:cs="仿宋_GB2312"/>
                <w:color w:val="auto"/>
                <w:sz w:val="24"/>
                <w:szCs w:val="24"/>
                <w:highlight w:val="none"/>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17B9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DF6D86C">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4A41E7AA">
            <w:pPr>
              <w:spacing w:line="400" w:lineRule="exact"/>
              <w:rPr>
                <w:rFonts w:hint="eastAsia" w:ascii="仿宋_GB2312" w:hAnsi="仿宋_GB2312" w:eastAsia="仿宋_GB2312" w:cs="仿宋_GB2312"/>
                <w:color w:val="auto"/>
                <w:sz w:val="24"/>
                <w:szCs w:val="24"/>
                <w:highlight w:val="none"/>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08E3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8BC9DFF">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6A19596">
            <w:pPr>
              <w:spacing w:line="400" w:lineRule="exact"/>
              <w:rPr>
                <w:rFonts w:hint="eastAsia" w:ascii="仿宋_GB2312" w:hAnsi="仿宋_GB2312" w:eastAsia="仿宋_GB2312" w:cs="仿宋_GB2312"/>
                <w:color w:val="auto"/>
                <w:sz w:val="24"/>
                <w:szCs w:val="24"/>
                <w:highlight w:val="none"/>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055643">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403D680">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B94B8B5">
            <w:pPr>
              <w:spacing w:line="400" w:lineRule="exact"/>
              <w:rPr>
                <w:rFonts w:hint="eastAsia" w:ascii="仿宋_GB2312" w:hAnsi="仿宋_GB2312" w:eastAsia="仿宋_GB2312" w:cs="仿宋_GB2312"/>
                <w:color w:val="auto"/>
                <w:sz w:val="24"/>
                <w:szCs w:val="24"/>
                <w:highlight w:val="none"/>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E8BEA7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A0023A">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9EEF7F6">
            <w:pPr>
              <w:spacing w:line="400" w:lineRule="exact"/>
              <w:rPr>
                <w:rFonts w:hint="eastAsia" w:ascii="仿宋_GB2312" w:hAnsi="仿宋_GB2312" w:eastAsia="仿宋_GB2312" w:cs="仿宋_GB2312"/>
                <w:color w:val="auto"/>
                <w:sz w:val="24"/>
                <w:highlight w:val="none"/>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1173C21">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75773A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39BB136">
            <w:pPr>
              <w:spacing w:line="400" w:lineRule="exact"/>
              <w:rPr>
                <w:rFonts w:hint="eastAsia" w:ascii="仿宋_GB2312" w:hAnsi="仿宋_GB2312" w:eastAsia="仿宋_GB2312" w:cs="仿宋_GB2312"/>
                <w:color w:val="auto"/>
                <w:sz w:val="24"/>
                <w:highlight w:val="none"/>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394FC922">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5F27F2B">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46358D06">
            <w:pPr>
              <w:spacing w:line="400" w:lineRule="exact"/>
              <w:rPr>
                <w:rFonts w:hint="eastAsia" w:ascii="仿宋_GB2312" w:hAnsi="仿宋_GB2312" w:eastAsia="仿宋_GB2312" w:cs="仿宋_GB2312"/>
                <w:color w:val="auto"/>
                <w:sz w:val="24"/>
                <w:highlight w:val="none"/>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5B3C5DA">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1D5BD65">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0C5E985">
            <w:pPr>
              <w:spacing w:line="400" w:lineRule="exact"/>
              <w:rPr>
                <w:rFonts w:hint="eastAsia" w:ascii="仿宋_GB2312" w:hAnsi="仿宋_GB2312" w:eastAsia="仿宋_GB2312" w:cs="仿宋_GB2312"/>
                <w:color w:val="auto"/>
                <w:sz w:val="24"/>
                <w:highlight w:val="none"/>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0E92207">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DAD1F2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AF93FA1">
            <w:pPr>
              <w:spacing w:line="400" w:lineRule="exact"/>
              <w:rPr>
                <w:rFonts w:hint="eastAsia" w:ascii="仿宋_GB2312" w:hAnsi="仿宋_GB2312" w:eastAsia="仿宋_GB2312" w:cs="仿宋_GB2312"/>
                <w:color w:val="auto"/>
                <w:sz w:val="24"/>
                <w:highlight w:val="none"/>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5585965">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6E1D7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2660D0D">
            <w:pPr>
              <w:spacing w:line="400" w:lineRule="exact"/>
              <w:rPr>
                <w:rFonts w:hint="eastAsia" w:ascii="仿宋_GB2312" w:hAnsi="仿宋_GB2312" w:eastAsia="仿宋_GB2312" w:cs="仿宋_GB2312"/>
                <w:color w:val="auto"/>
                <w:sz w:val="24"/>
                <w:highlight w:val="none"/>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655F5FC">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75DE83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1CE290DD">
            <w:pPr>
              <w:spacing w:line="400" w:lineRule="exact"/>
              <w:rPr>
                <w:rFonts w:hint="eastAsia" w:ascii="仿宋_GB2312" w:hAnsi="仿宋_GB2312" w:eastAsia="仿宋_GB2312" w:cs="仿宋_GB2312"/>
                <w:color w:val="auto"/>
                <w:sz w:val="24"/>
                <w:highlight w:val="none"/>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B2CC76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A651C49">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78220D1E">
            <w:pPr>
              <w:spacing w:line="400" w:lineRule="exact"/>
              <w:rPr>
                <w:rFonts w:hint="eastAsia" w:ascii="仿宋_GB2312" w:hAnsi="仿宋_GB2312" w:eastAsia="仿宋_GB2312" w:cs="仿宋_GB2312"/>
                <w:color w:val="auto"/>
                <w:sz w:val="24"/>
                <w:highlight w:val="none"/>
              </w:rPr>
            </w:pPr>
          </w:p>
        </w:tc>
      </w:tr>
    </w:tbl>
    <w:p w14:paraId="49B7DE58">
      <w:pPr>
        <w:rPr>
          <w:rFonts w:hint="eastAsia" w:ascii="仿宋_GB2312" w:hAnsi="仿宋_GB2312" w:eastAsia="仿宋_GB2312" w:cs="仿宋_GB2312"/>
          <w:color w:val="auto"/>
          <w:sz w:val="24"/>
          <w:szCs w:val="18"/>
          <w:highlight w:val="none"/>
          <w:lang w:val="en-US" w:eastAsia="en-US"/>
        </w:rPr>
      </w:pPr>
    </w:p>
    <w:p w14:paraId="1D1E1608">
      <w:pPr>
        <w:ind w:firstLine="240" w:firstLineChars="1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注：1．投标人须在每张简历表后附上项目</w:t>
      </w:r>
      <w:r>
        <w:rPr>
          <w:rFonts w:hint="eastAsia" w:ascii="仿宋_GB2312" w:hAnsi="仿宋_GB2312" w:eastAsia="仿宋_GB2312" w:cs="仿宋_GB2312"/>
          <w:color w:val="auto"/>
          <w:sz w:val="24"/>
          <w:szCs w:val="18"/>
          <w:highlight w:val="none"/>
          <w:lang w:val="en-US" w:eastAsia="zh-CN"/>
        </w:rPr>
        <w:t>经理</w:t>
      </w:r>
      <w:r>
        <w:rPr>
          <w:rFonts w:hint="eastAsia" w:ascii="仿宋_GB2312" w:hAnsi="仿宋_GB2312" w:eastAsia="仿宋_GB2312" w:cs="仿宋_GB2312"/>
          <w:color w:val="auto"/>
          <w:sz w:val="24"/>
          <w:szCs w:val="18"/>
          <w:highlight w:val="none"/>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auto"/>
          <w:sz w:val="28"/>
          <w:szCs w:val="22"/>
          <w:highlight w:val="none"/>
          <w:lang w:val="en-US" w:eastAsia="en-US" w:bidi="ar-SA"/>
        </w:rPr>
      </w:pPr>
    </w:p>
    <w:p w14:paraId="6779CF73">
      <w:pPr>
        <w:spacing w:line="291" w:lineRule="exact"/>
        <w:rPr>
          <w:rFonts w:hint="eastAsia" w:ascii="仿宋_GB2312" w:hAnsi="仿宋_GB2312" w:eastAsia="仿宋_GB2312" w:cs="仿宋_GB2312"/>
          <w:color w:val="auto"/>
          <w:sz w:val="28"/>
          <w:szCs w:val="22"/>
          <w:highlight w:val="none"/>
          <w:lang w:val="en-US" w:eastAsia="en-US" w:bidi="ar-SA"/>
        </w:rPr>
      </w:pPr>
    </w:p>
    <w:p w14:paraId="22CBB68F">
      <w:pPr>
        <w:spacing w:line="291" w:lineRule="exact"/>
        <w:rPr>
          <w:rFonts w:hint="eastAsia" w:ascii="仿宋_GB2312" w:hAnsi="仿宋_GB2312" w:eastAsia="仿宋_GB2312" w:cs="仿宋_GB2312"/>
          <w:color w:val="auto"/>
          <w:sz w:val="28"/>
          <w:szCs w:val="22"/>
          <w:highlight w:val="none"/>
          <w:lang w:val="en-US" w:eastAsia="en-US" w:bidi="ar-SA"/>
        </w:rPr>
      </w:pPr>
    </w:p>
    <w:p w14:paraId="3F3AAA2E">
      <w:pPr>
        <w:spacing w:line="291" w:lineRule="exact"/>
        <w:rPr>
          <w:rFonts w:hint="eastAsia" w:ascii="仿宋_GB2312" w:hAnsi="仿宋_GB2312" w:eastAsia="仿宋_GB2312" w:cs="仿宋_GB2312"/>
          <w:color w:val="auto"/>
          <w:sz w:val="28"/>
          <w:szCs w:val="22"/>
          <w:highlight w:val="none"/>
          <w:lang w:val="en-US" w:eastAsia="en-US" w:bidi="ar-SA"/>
        </w:rPr>
      </w:pPr>
    </w:p>
    <w:p w14:paraId="60230AF1">
      <w:pPr>
        <w:spacing w:line="291" w:lineRule="exact"/>
        <w:rPr>
          <w:rFonts w:hint="eastAsia" w:ascii="仿宋_GB2312" w:hAnsi="仿宋_GB2312" w:eastAsia="仿宋_GB2312" w:cs="仿宋_GB2312"/>
          <w:color w:val="auto"/>
          <w:sz w:val="28"/>
          <w:szCs w:val="22"/>
          <w:highlight w:val="none"/>
          <w:lang w:val="en-US" w:eastAsia="en-US" w:bidi="ar-SA"/>
        </w:rPr>
      </w:pPr>
    </w:p>
    <w:p w14:paraId="3D2120D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1"/>
          <w:sz w:val="28"/>
          <w:szCs w:val="28"/>
          <w:highlight w:val="none"/>
          <w:lang w:val="en-US" w:eastAsia="zh-CN" w:bidi="ar-SA"/>
        </w:rPr>
        <w:t>九</w:t>
      </w:r>
      <w:r>
        <w:rPr>
          <w:rFonts w:hint="eastAsia" w:ascii="仿宋_GB2312" w:hAnsi="仿宋_GB2312" w:eastAsia="仿宋_GB2312" w:cs="仿宋_GB2312"/>
          <w:b w:val="0"/>
          <w:bCs w:val="0"/>
          <w:color w:val="auto"/>
          <w:spacing w:val="1"/>
          <w:sz w:val="28"/>
          <w:szCs w:val="28"/>
          <w:highlight w:val="none"/>
          <w:lang w:val="en-US" w:eastAsia="en-US" w:bidi="ar-SA"/>
        </w:rPr>
        <w:t>、企业业绩情况及</w:t>
      </w:r>
      <w:r>
        <w:rPr>
          <w:rFonts w:hint="eastAsia" w:ascii="仿宋_GB2312" w:hAnsi="仿宋_GB2312" w:eastAsia="仿宋_GB2312" w:cs="仿宋_GB2312"/>
          <w:b w:val="0"/>
          <w:bCs w:val="0"/>
          <w:color w:val="auto"/>
          <w:spacing w:val="1"/>
          <w:sz w:val="28"/>
          <w:szCs w:val="28"/>
          <w:highlight w:val="none"/>
          <w:lang w:val="en-US" w:eastAsia="zh-CN" w:bidi="ar-SA"/>
        </w:rPr>
        <w:t>体系</w:t>
      </w:r>
      <w:r>
        <w:rPr>
          <w:rFonts w:hint="eastAsia" w:ascii="仿宋_GB2312" w:hAnsi="仿宋_GB2312" w:eastAsia="仿宋_GB2312" w:cs="仿宋_GB2312"/>
          <w:b w:val="0"/>
          <w:bCs w:val="0"/>
          <w:color w:val="auto"/>
          <w:spacing w:val="1"/>
          <w:sz w:val="28"/>
          <w:szCs w:val="28"/>
          <w:highlight w:val="none"/>
          <w:lang w:val="en-US" w:eastAsia="en-US" w:bidi="ar-SA"/>
        </w:rPr>
        <w:t>认证</w:t>
      </w:r>
    </w:p>
    <w:p w14:paraId="784F1838">
      <w:pPr>
        <w:spacing w:before="265" w:after="351" w:line="246" w:lineRule="exact"/>
        <w:rPr>
          <w:rFonts w:hint="eastAsia" w:ascii="仿宋_GB2312" w:hAnsi="仿宋_GB2312" w:eastAsia="仿宋_GB2312" w:cs="仿宋_GB2312"/>
          <w:color w:val="auto"/>
          <w:spacing w:val="1"/>
          <w:sz w:val="24"/>
          <w:szCs w:val="24"/>
          <w:highlight w:val="none"/>
          <w:lang w:val="en-US" w:eastAsia="en-US" w:bidi="ar-SA"/>
        </w:rPr>
      </w:pPr>
      <w:r>
        <w:rPr>
          <w:rFonts w:hint="eastAsia" w:ascii="仿宋_GB2312" w:hAnsi="仿宋_GB2312" w:eastAsia="仿宋_GB2312" w:cs="仿宋_GB2312"/>
          <w:b/>
          <w:color w:val="auto"/>
          <w:spacing w:val="1"/>
          <w:sz w:val="24"/>
          <w:szCs w:val="24"/>
          <w:highlight w:val="none"/>
          <w:lang w:val="en-US" w:eastAsia="en-US" w:bidi="ar-SA"/>
        </w:rPr>
        <w:t>1</w:t>
      </w:r>
      <w:r>
        <w:rPr>
          <w:rFonts w:hint="eastAsia" w:ascii="仿宋_GB2312" w:hAnsi="仿宋_GB2312" w:eastAsia="仿宋_GB2312" w:cs="仿宋_GB2312"/>
          <w:color w:val="auto"/>
          <w:spacing w:val="1"/>
          <w:sz w:val="24"/>
          <w:szCs w:val="24"/>
          <w:highlight w:val="none"/>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auto"/>
                <w:kern w:val="0"/>
                <w:sz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kern w:val="0"/>
                <w:sz w:val="24"/>
                <w:szCs w:val="22"/>
                <w:highlight w:val="none"/>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4968B372">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196E96E">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1124339E">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720AC415">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15C48F7">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0AAE160F">
            <w:pPr>
              <w:pStyle w:val="71"/>
              <w:rPr>
                <w:rFonts w:hint="eastAsia" w:ascii="仿宋_GB2312" w:hAnsi="仿宋_GB2312" w:eastAsia="仿宋_GB2312" w:cs="仿宋_GB2312"/>
                <w:color w:val="auto"/>
                <w:highlight w:val="none"/>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226967E5">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6E0E301">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A3FA715">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A814B42">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10CD1FCB">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DBE95F">
            <w:pPr>
              <w:pStyle w:val="71"/>
              <w:rPr>
                <w:rFonts w:hint="eastAsia" w:ascii="仿宋_GB2312" w:hAnsi="仿宋_GB2312" w:eastAsia="仿宋_GB2312" w:cs="仿宋_GB2312"/>
                <w:color w:val="auto"/>
                <w:highlight w:val="none"/>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749C278">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3433CA3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033ED1E8">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69288DD1">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4C279D0">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115BE7">
            <w:pPr>
              <w:pStyle w:val="71"/>
              <w:rPr>
                <w:rFonts w:hint="eastAsia" w:ascii="仿宋_GB2312" w:hAnsi="仿宋_GB2312" w:eastAsia="仿宋_GB2312" w:cs="仿宋_GB2312"/>
                <w:color w:val="auto"/>
                <w:highlight w:val="none"/>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BEEA5FC">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C374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630B597">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E1F354F">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023A862C">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9605DB5">
            <w:pPr>
              <w:pStyle w:val="71"/>
              <w:rPr>
                <w:rFonts w:hint="eastAsia" w:ascii="仿宋_GB2312" w:hAnsi="仿宋_GB2312" w:eastAsia="仿宋_GB2312" w:cs="仿宋_GB2312"/>
                <w:color w:val="auto"/>
                <w:highlight w:val="none"/>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0146EE93">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5EFE7">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387FDEC6">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0A7B2976">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33F1F5CA">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3B0D6B93">
            <w:pPr>
              <w:pStyle w:val="71"/>
              <w:rPr>
                <w:rFonts w:hint="eastAsia" w:ascii="仿宋_GB2312" w:hAnsi="仿宋_GB2312" w:eastAsia="仿宋_GB2312" w:cs="仿宋_GB2312"/>
                <w:color w:val="auto"/>
                <w:highlight w:val="none"/>
                <w:vertAlign w:val="baseline"/>
              </w:rPr>
            </w:pPr>
          </w:p>
        </w:tc>
      </w:tr>
    </w:tbl>
    <w:p w14:paraId="267C7A52">
      <w:pPr>
        <w:pStyle w:val="71"/>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（2）投标单位必须确保上表信息的真实性。</w:t>
      </w:r>
    </w:p>
    <w:p w14:paraId="69693829">
      <w:pPr>
        <w:pStyle w:val="71"/>
        <w:ind w:left="0" w:leftChars="0" w:firstLine="0" w:firstLineChars="0"/>
        <w:rPr>
          <w:rFonts w:hint="eastAsia" w:ascii="仿宋_GB2312" w:hAnsi="仿宋_GB2312" w:eastAsia="仿宋_GB2312" w:cs="仿宋_GB2312"/>
          <w:color w:val="auto"/>
          <w:highlight w:val="none"/>
        </w:rPr>
      </w:pPr>
    </w:p>
    <w:p w14:paraId="42DD26B5">
      <w:pPr>
        <w:pStyle w:val="71"/>
        <w:ind w:left="0" w:leftChars="0" w:firstLine="0" w:firstLineChars="0"/>
        <w:rPr>
          <w:rFonts w:hint="eastAsia" w:ascii="仿宋_GB2312" w:hAnsi="仿宋_GB2312" w:eastAsia="仿宋_GB2312" w:cs="仿宋_GB2312"/>
          <w:color w:val="auto"/>
          <w:highlight w:val="none"/>
        </w:rPr>
      </w:pPr>
    </w:p>
    <w:p w14:paraId="08A743DE">
      <w:pPr>
        <w:pStyle w:val="71"/>
        <w:ind w:left="0" w:leftChars="0" w:firstLine="0" w:firstLineChars="0"/>
        <w:rPr>
          <w:rFonts w:hint="eastAsia" w:ascii="仿宋_GB2312" w:hAnsi="仿宋_GB2312" w:eastAsia="仿宋_GB2312" w:cs="仿宋_GB2312"/>
          <w:color w:val="auto"/>
          <w:highlight w:val="none"/>
        </w:rPr>
      </w:pPr>
    </w:p>
    <w:p w14:paraId="1B464257">
      <w:pPr>
        <w:pStyle w:val="71"/>
        <w:ind w:left="0" w:leftChars="0" w:firstLine="0" w:firstLineChars="0"/>
        <w:rPr>
          <w:rFonts w:hint="eastAsia" w:ascii="仿宋_GB2312" w:hAnsi="仿宋_GB2312" w:eastAsia="仿宋_GB2312" w:cs="仿宋_GB2312"/>
          <w:color w:val="auto"/>
          <w:highlight w:val="none"/>
        </w:rPr>
      </w:pPr>
    </w:p>
    <w:p w14:paraId="301A7BCD">
      <w:pPr>
        <w:pStyle w:val="71"/>
        <w:ind w:left="0" w:leftChars="0" w:firstLine="0" w:firstLineChars="0"/>
        <w:rPr>
          <w:rFonts w:hint="eastAsia" w:ascii="仿宋_GB2312" w:hAnsi="仿宋_GB2312" w:eastAsia="仿宋_GB2312" w:cs="仿宋_GB2312"/>
          <w:color w:val="auto"/>
          <w:highlight w:val="none"/>
        </w:rPr>
      </w:pPr>
    </w:p>
    <w:p w14:paraId="0AE70D96">
      <w:pPr>
        <w:pStyle w:val="71"/>
        <w:ind w:left="0" w:leftChars="0" w:firstLine="0" w:firstLineChars="0"/>
        <w:rPr>
          <w:rFonts w:hint="eastAsia" w:ascii="仿宋_GB2312" w:hAnsi="仿宋_GB2312" w:eastAsia="仿宋_GB2312" w:cs="仿宋_GB2312"/>
          <w:color w:val="auto"/>
          <w:highlight w:val="none"/>
        </w:rPr>
      </w:pPr>
    </w:p>
    <w:p w14:paraId="019D35F6">
      <w:pPr>
        <w:pStyle w:val="71"/>
        <w:ind w:left="0" w:leftChars="0" w:firstLine="0" w:firstLineChars="0"/>
        <w:rPr>
          <w:rFonts w:hint="eastAsia" w:ascii="仿宋_GB2312" w:hAnsi="仿宋_GB2312" w:eastAsia="仿宋_GB2312" w:cs="仿宋_GB2312"/>
          <w:color w:val="auto"/>
          <w:highlight w:val="none"/>
        </w:rPr>
      </w:pPr>
    </w:p>
    <w:p w14:paraId="5886E849">
      <w:pPr>
        <w:pStyle w:val="71"/>
        <w:ind w:left="0" w:leftChars="0" w:firstLine="0" w:firstLineChars="0"/>
        <w:rPr>
          <w:rFonts w:hint="eastAsia" w:ascii="仿宋_GB2312" w:hAnsi="仿宋_GB2312" w:eastAsia="仿宋_GB2312" w:cs="仿宋_GB2312"/>
          <w:color w:val="auto"/>
          <w:highlight w:val="none"/>
        </w:rPr>
      </w:pPr>
    </w:p>
    <w:p w14:paraId="780D2D98">
      <w:pPr>
        <w:pStyle w:val="71"/>
        <w:ind w:left="0" w:leftChars="0" w:firstLine="0" w:firstLineChars="0"/>
        <w:rPr>
          <w:rFonts w:hint="eastAsia" w:ascii="仿宋_GB2312" w:hAnsi="仿宋_GB2312" w:eastAsia="仿宋_GB2312" w:cs="仿宋_GB2312"/>
          <w:color w:val="auto"/>
          <w:highlight w:val="none"/>
        </w:rPr>
      </w:pPr>
    </w:p>
    <w:p w14:paraId="4FCC8A7F">
      <w:pPr>
        <w:pStyle w:val="71"/>
        <w:ind w:left="0" w:leftChars="0" w:firstLine="0" w:firstLineChars="0"/>
        <w:rPr>
          <w:rFonts w:hint="eastAsia" w:ascii="仿宋_GB2312" w:hAnsi="仿宋_GB2312" w:eastAsia="仿宋_GB2312" w:cs="仿宋_GB2312"/>
          <w:color w:val="auto"/>
          <w:highlight w:val="none"/>
        </w:rPr>
      </w:pPr>
    </w:p>
    <w:p w14:paraId="3198E3A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val="en-US" w:eastAsia="en-US"/>
        </w:rPr>
        <w:t>：</w:t>
      </w:r>
    </w:p>
    <w:p w14:paraId="30EA9A88">
      <w:pPr>
        <w:spacing w:before="413" w:line="329" w:lineRule="exact"/>
        <w:jc w:val="center"/>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en-US" w:bidi="ar-SA"/>
        </w:rPr>
        <w:t>十、财务审计报告</w:t>
      </w:r>
      <w:r>
        <w:rPr>
          <w:rFonts w:hint="eastAsia" w:ascii="仿宋_GB2312" w:hAnsi="仿宋_GB2312" w:eastAsia="仿宋_GB2312" w:cs="仿宋_GB2312"/>
          <w:b w:val="0"/>
          <w:bCs w:val="0"/>
          <w:color w:val="auto"/>
          <w:spacing w:val="1"/>
          <w:sz w:val="28"/>
          <w:szCs w:val="28"/>
          <w:highlight w:val="none"/>
          <w:lang w:val="en-US" w:eastAsia="zh-CN" w:bidi="ar-SA"/>
        </w:rPr>
        <w:t>、</w:t>
      </w:r>
      <w:r>
        <w:rPr>
          <w:rFonts w:hint="eastAsia" w:ascii="仿宋_GB2312" w:hAnsi="仿宋_GB2312" w:eastAsia="仿宋_GB2312" w:cs="仿宋_GB2312"/>
          <w:b w:val="0"/>
          <w:bCs w:val="0"/>
          <w:color w:val="auto"/>
          <w:spacing w:val="1"/>
          <w:sz w:val="28"/>
          <w:szCs w:val="28"/>
          <w:highlight w:val="none"/>
          <w:lang w:val="en-US" w:eastAsia="en-US" w:bidi="ar-SA"/>
        </w:rPr>
        <w:t>社保</w:t>
      </w:r>
      <w:r>
        <w:rPr>
          <w:rFonts w:hint="eastAsia" w:ascii="仿宋_GB2312" w:hAnsi="仿宋_GB2312" w:eastAsia="仿宋_GB2312" w:cs="仿宋_GB2312"/>
          <w:b w:val="0"/>
          <w:bCs w:val="0"/>
          <w:color w:val="auto"/>
          <w:spacing w:val="1"/>
          <w:sz w:val="28"/>
          <w:szCs w:val="28"/>
          <w:highlight w:val="none"/>
          <w:lang w:val="en-US" w:eastAsia="zh-CN" w:bidi="ar-SA"/>
        </w:rPr>
        <w:t>凭证</w:t>
      </w:r>
      <w:r>
        <w:rPr>
          <w:rFonts w:hint="eastAsia" w:ascii="仿宋_GB2312" w:hAnsi="仿宋_GB2312" w:eastAsia="仿宋_GB2312" w:cs="仿宋_GB2312"/>
          <w:b w:val="0"/>
          <w:bCs w:val="0"/>
          <w:color w:val="auto"/>
          <w:spacing w:val="1"/>
          <w:sz w:val="28"/>
          <w:szCs w:val="28"/>
          <w:highlight w:val="none"/>
          <w:lang w:val="en-US" w:eastAsia="en-US" w:bidi="ar-SA"/>
        </w:rPr>
        <w:t>、完税</w:t>
      </w:r>
      <w:r>
        <w:rPr>
          <w:rFonts w:hint="eastAsia" w:ascii="仿宋_GB2312" w:hAnsi="仿宋_GB2312" w:eastAsia="仿宋_GB2312" w:cs="仿宋_GB2312"/>
          <w:b w:val="0"/>
          <w:bCs w:val="0"/>
          <w:color w:val="auto"/>
          <w:spacing w:val="1"/>
          <w:sz w:val="28"/>
          <w:szCs w:val="28"/>
          <w:highlight w:val="none"/>
          <w:lang w:val="en-US" w:eastAsia="zh-CN" w:bidi="ar-SA"/>
        </w:rPr>
        <w:t>凭证</w:t>
      </w:r>
    </w:p>
    <w:p w14:paraId="2A0FC7D4">
      <w:pPr>
        <w:spacing w:before="433" w:line="221" w:lineRule="exact"/>
        <w:rPr>
          <w:rFonts w:hint="eastAsia" w:ascii="仿宋_GB2312" w:hAnsi="仿宋_GB2312" w:eastAsia="仿宋_GB2312" w:cs="仿宋_GB2312"/>
          <w:color w:val="auto"/>
          <w:sz w:val="24"/>
          <w:szCs w:val="28"/>
          <w:highlight w:val="none"/>
          <w:lang w:val="en-US" w:eastAsia="en-US" w:bidi="ar-SA"/>
        </w:rPr>
      </w:pPr>
      <w:r>
        <w:rPr>
          <w:rFonts w:hint="eastAsia" w:ascii="仿宋_GB2312" w:hAnsi="仿宋_GB2312" w:eastAsia="仿宋_GB2312" w:cs="仿宋_GB2312"/>
          <w:color w:val="auto"/>
          <w:spacing w:val="1"/>
          <w:sz w:val="24"/>
          <w:szCs w:val="28"/>
          <w:highlight w:val="none"/>
          <w:lang w:val="en-US" w:eastAsia="en-US" w:bidi="ar-SA"/>
        </w:rPr>
        <w:t>注：提供</w:t>
      </w:r>
      <w:r>
        <w:rPr>
          <w:rFonts w:hint="eastAsia" w:ascii="仿宋_GB2312" w:hAnsi="仿宋_GB2312" w:eastAsia="仿宋_GB2312" w:cs="仿宋_GB2312"/>
          <w:color w:val="auto"/>
          <w:spacing w:val="1"/>
          <w:sz w:val="24"/>
          <w:szCs w:val="28"/>
          <w:highlight w:val="none"/>
          <w:lang w:val="en-US" w:eastAsia="zh-CN" w:bidi="ar-SA"/>
        </w:rPr>
        <w:t>近三个月社保凭证及完税凭证，</w:t>
      </w:r>
      <w:r>
        <w:rPr>
          <w:rFonts w:hint="eastAsia" w:ascii="仿宋_GB2312" w:hAnsi="仿宋_GB2312" w:eastAsia="仿宋_GB2312" w:cs="仿宋_GB2312"/>
          <w:color w:val="auto"/>
          <w:sz w:val="24"/>
          <w:szCs w:val="28"/>
          <w:highlight w:val="none"/>
          <w:lang w:val="en-US" w:eastAsia="zh-CN" w:bidi="ar-SA"/>
        </w:rPr>
        <w:t>2024</w:t>
      </w:r>
      <w:r>
        <w:rPr>
          <w:rFonts w:hint="eastAsia" w:ascii="仿宋_GB2312" w:hAnsi="仿宋_GB2312" w:eastAsia="仿宋_GB2312" w:cs="仿宋_GB2312"/>
          <w:color w:val="auto"/>
          <w:sz w:val="24"/>
          <w:szCs w:val="28"/>
          <w:highlight w:val="none"/>
          <w:lang w:val="en-US" w:eastAsia="en-US" w:bidi="ar-SA"/>
        </w:rPr>
        <w:t>年度的财务审计报告</w:t>
      </w:r>
      <w:r>
        <w:rPr>
          <w:rFonts w:hint="eastAsia" w:ascii="仿宋_GB2312" w:hAnsi="仿宋_GB2312" w:eastAsia="仿宋_GB2312" w:cs="仿宋_GB2312"/>
          <w:color w:val="auto"/>
          <w:sz w:val="24"/>
          <w:szCs w:val="28"/>
          <w:highlight w:val="none"/>
          <w:lang w:val="en-US" w:eastAsia="zh-CN" w:bidi="ar-SA"/>
        </w:rPr>
        <w:t>或2024年至今资信证明</w:t>
      </w:r>
      <w:r>
        <w:rPr>
          <w:rFonts w:hint="eastAsia" w:ascii="仿宋_GB2312" w:hAnsi="仿宋_GB2312" w:eastAsia="仿宋_GB2312" w:cs="仿宋_GB2312"/>
          <w:color w:val="auto"/>
          <w:sz w:val="24"/>
          <w:szCs w:val="28"/>
          <w:highlight w:val="none"/>
          <w:lang w:val="en-US" w:eastAsia="en-US" w:bidi="ar-SA"/>
        </w:rPr>
        <w:t>。</w:t>
      </w:r>
    </w:p>
    <w:p w14:paraId="67CB3AA3">
      <w:pPr>
        <w:pStyle w:val="71"/>
        <w:ind w:left="0" w:leftChars="0" w:firstLine="0" w:firstLineChars="0"/>
        <w:rPr>
          <w:rFonts w:hint="eastAsia" w:ascii="仿宋_GB2312" w:hAnsi="仿宋_GB2312" w:eastAsia="仿宋_GB2312" w:cs="仿宋_GB2312"/>
          <w:color w:val="auto"/>
          <w:highlight w:val="none"/>
        </w:rPr>
      </w:pPr>
    </w:p>
    <w:p w14:paraId="5D1E49A9">
      <w:pPr>
        <w:spacing w:line="291" w:lineRule="exact"/>
        <w:rPr>
          <w:rFonts w:hint="eastAsia" w:ascii="仿宋_GB2312" w:hAnsi="仿宋_GB2312" w:eastAsia="仿宋_GB2312" w:cs="仿宋_GB2312"/>
          <w:color w:val="auto"/>
          <w:sz w:val="28"/>
          <w:szCs w:val="22"/>
          <w:highlight w:val="none"/>
          <w:lang w:val="en-US" w:eastAsia="en-US" w:bidi="ar-SA"/>
        </w:rPr>
      </w:pPr>
      <w:bookmarkStart w:id="111" w:name="_Toc456778743"/>
      <w:bookmarkStart w:id="112" w:name="_Toc447113465"/>
      <w:bookmarkStart w:id="113" w:name="_Toc459025850"/>
      <w:bookmarkStart w:id="114" w:name="_Toc14646"/>
    </w:p>
    <w:p w14:paraId="43C9BA85">
      <w:pPr>
        <w:spacing w:line="291" w:lineRule="exact"/>
        <w:rPr>
          <w:rFonts w:hint="eastAsia" w:ascii="仿宋_GB2312" w:hAnsi="仿宋_GB2312" w:eastAsia="仿宋_GB2312" w:cs="仿宋_GB2312"/>
          <w:color w:val="auto"/>
          <w:sz w:val="28"/>
          <w:szCs w:val="22"/>
          <w:highlight w:val="none"/>
          <w:lang w:val="en-US" w:eastAsia="en-US" w:bidi="ar-SA"/>
        </w:rPr>
      </w:pPr>
    </w:p>
    <w:p w14:paraId="2A47A523">
      <w:pPr>
        <w:spacing w:line="291" w:lineRule="exact"/>
        <w:rPr>
          <w:rFonts w:hint="eastAsia" w:ascii="仿宋_GB2312" w:hAnsi="仿宋_GB2312" w:eastAsia="仿宋_GB2312" w:cs="仿宋_GB2312"/>
          <w:color w:val="auto"/>
          <w:sz w:val="28"/>
          <w:szCs w:val="22"/>
          <w:highlight w:val="none"/>
          <w:lang w:val="en-US" w:eastAsia="en-US" w:bidi="ar-SA"/>
        </w:rPr>
      </w:pPr>
    </w:p>
    <w:p w14:paraId="375CA75A">
      <w:pPr>
        <w:spacing w:line="291" w:lineRule="exact"/>
        <w:rPr>
          <w:rFonts w:hint="eastAsia" w:ascii="仿宋_GB2312" w:hAnsi="仿宋_GB2312" w:eastAsia="仿宋_GB2312" w:cs="仿宋_GB2312"/>
          <w:color w:val="auto"/>
          <w:sz w:val="28"/>
          <w:szCs w:val="22"/>
          <w:highlight w:val="none"/>
          <w:lang w:val="en-US" w:eastAsia="en-US" w:bidi="ar-SA"/>
        </w:rPr>
      </w:pPr>
    </w:p>
    <w:p w14:paraId="4BE88684">
      <w:pPr>
        <w:spacing w:line="291" w:lineRule="exact"/>
        <w:rPr>
          <w:rFonts w:hint="eastAsia" w:ascii="仿宋_GB2312" w:hAnsi="仿宋_GB2312" w:eastAsia="仿宋_GB2312" w:cs="仿宋_GB2312"/>
          <w:color w:val="auto"/>
          <w:sz w:val="28"/>
          <w:szCs w:val="22"/>
          <w:highlight w:val="none"/>
          <w:lang w:val="en-US" w:eastAsia="en-US" w:bidi="ar-SA"/>
        </w:rPr>
      </w:pPr>
    </w:p>
    <w:p w14:paraId="50F3DA99">
      <w:pPr>
        <w:spacing w:line="291" w:lineRule="exact"/>
        <w:rPr>
          <w:rFonts w:hint="eastAsia" w:ascii="仿宋_GB2312" w:hAnsi="仿宋_GB2312" w:eastAsia="仿宋_GB2312" w:cs="仿宋_GB2312"/>
          <w:color w:val="auto"/>
          <w:sz w:val="28"/>
          <w:szCs w:val="22"/>
          <w:highlight w:val="none"/>
          <w:lang w:val="en-US" w:eastAsia="en-US" w:bidi="ar-SA"/>
        </w:rPr>
      </w:pPr>
    </w:p>
    <w:p w14:paraId="3B903FE4">
      <w:pPr>
        <w:spacing w:line="291" w:lineRule="exact"/>
        <w:rPr>
          <w:rFonts w:hint="eastAsia" w:ascii="仿宋_GB2312" w:hAnsi="仿宋_GB2312" w:eastAsia="仿宋_GB2312" w:cs="仿宋_GB2312"/>
          <w:color w:val="auto"/>
          <w:sz w:val="28"/>
          <w:szCs w:val="22"/>
          <w:highlight w:val="none"/>
          <w:lang w:val="en-US" w:eastAsia="en-US" w:bidi="ar-SA"/>
        </w:rPr>
      </w:pPr>
    </w:p>
    <w:p w14:paraId="7B81DB97">
      <w:pPr>
        <w:spacing w:line="291" w:lineRule="exact"/>
        <w:rPr>
          <w:rFonts w:hint="eastAsia" w:ascii="仿宋_GB2312" w:hAnsi="仿宋_GB2312" w:eastAsia="仿宋_GB2312" w:cs="仿宋_GB2312"/>
          <w:color w:val="auto"/>
          <w:sz w:val="28"/>
          <w:szCs w:val="22"/>
          <w:highlight w:val="none"/>
          <w:lang w:val="en-US" w:eastAsia="en-US" w:bidi="ar-SA"/>
        </w:rPr>
      </w:pPr>
    </w:p>
    <w:p w14:paraId="0AC0BB47">
      <w:pPr>
        <w:spacing w:line="291" w:lineRule="exact"/>
        <w:rPr>
          <w:rFonts w:hint="eastAsia" w:ascii="仿宋_GB2312" w:hAnsi="仿宋_GB2312" w:eastAsia="仿宋_GB2312" w:cs="仿宋_GB2312"/>
          <w:color w:val="auto"/>
          <w:sz w:val="28"/>
          <w:szCs w:val="22"/>
          <w:highlight w:val="none"/>
          <w:lang w:val="en-US" w:eastAsia="en-US" w:bidi="ar-SA"/>
        </w:rPr>
      </w:pPr>
    </w:p>
    <w:p w14:paraId="02C89B86">
      <w:pPr>
        <w:spacing w:line="291" w:lineRule="exact"/>
        <w:rPr>
          <w:rFonts w:hint="eastAsia" w:ascii="仿宋_GB2312" w:hAnsi="仿宋_GB2312" w:eastAsia="仿宋_GB2312" w:cs="仿宋_GB2312"/>
          <w:color w:val="auto"/>
          <w:sz w:val="28"/>
          <w:szCs w:val="22"/>
          <w:highlight w:val="none"/>
          <w:lang w:val="en-US" w:eastAsia="en-US" w:bidi="ar-SA"/>
        </w:rPr>
      </w:pPr>
    </w:p>
    <w:p w14:paraId="0B5F4064">
      <w:pPr>
        <w:spacing w:line="291" w:lineRule="exact"/>
        <w:rPr>
          <w:rFonts w:hint="eastAsia" w:ascii="仿宋_GB2312" w:hAnsi="仿宋_GB2312" w:eastAsia="仿宋_GB2312" w:cs="仿宋_GB2312"/>
          <w:color w:val="auto"/>
          <w:sz w:val="28"/>
          <w:szCs w:val="22"/>
          <w:highlight w:val="none"/>
          <w:lang w:val="en-US" w:eastAsia="en-US" w:bidi="ar-SA"/>
        </w:rPr>
      </w:pPr>
    </w:p>
    <w:p w14:paraId="132F4106">
      <w:pPr>
        <w:spacing w:line="291" w:lineRule="exact"/>
        <w:rPr>
          <w:rFonts w:hint="eastAsia" w:ascii="仿宋_GB2312" w:hAnsi="仿宋_GB2312" w:eastAsia="仿宋_GB2312" w:cs="仿宋_GB2312"/>
          <w:color w:val="auto"/>
          <w:sz w:val="28"/>
          <w:szCs w:val="22"/>
          <w:highlight w:val="none"/>
          <w:lang w:val="en-US" w:eastAsia="en-US" w:bidi="ar-SA"/>
        </w:rPr>
      </w:pPr>
    </w:p>
    <w:p w14:paraId="52807C88">
      <w:pPr>
        <w:spacing w:line="291" w:lineRule="exact"/>
        <w:rPr>
          <w:rFonts w:hint="eastAsia" w:ascii="仿宋_GB2312" w:hAnsi="仿宋_GB2312" w:eastAsia="仿宋_GB2312" w:cs="仿宋_GB2312"/>
          <w:color w:val="auto"/>
          <w:sz w:val="28"/>
          <w:szCs w:val="22"/>
          <w:highlight w:val="none"/>
          <w:lang w:val="en-US" w:eastAsia="en-US" w:bidi="ar-SA"/>
        </w:rPr>
      </w:pPr>
    </w:p>
    <w:p w14:paraId="32AE0521">
      <w:pPr>
        <w:spacing w:line="291" w:lineRule="exact"/>
        <w:rPr>
          <w:rFonts w:hint="eastAsia" w:ascii="仿宋_GB2312" w:hAnsi="仿宋_GB2312" w:eastAsia="仿宋_GB2312" w:cs="仿宋_GB2312"/>
          <w:color w:val="auto"/>
          <w:sz w:val="28"/>
          <w:szCs w:val="22"/>
          <w:highlight w:val="none"/>
          <w:lang w:val="en-US" w:eastAsia="en-US" w:bidi="ar-SA"/>
        </w:rPr>
      </w:pPr>
    </w:p>
    <w:p w14:paraId="640CE7F3">
      <w:pPr>
        <w:spacing w:line="291" w:lineRule="exact"/>
        <w:rPr>
          <w:rFonts w:hint="eastAsia" w:ascii="仿宋_GB2312" w:hAnsi="仿宋_GB2312" w:eastAsia="仿宋_GB2312" w:cs="仿宋_GB2312"/>
          <w:color w:val="auto"/>
          <w:sz w:val="28"/>
          <w:szCs w:val="22"/>
          <w:highlight w:val="none"/>
          <w:lang w:val="en-US" w:eastAsia="en-US" w:bidi="ar-SA"/>
        </w:rPr>
      </w:pPr>
    </w:p>
    <w:p w14:paraId="18E51388">
      <w:pPr>
        <w:spacing w:line="291" w:lineRule="exact"/>
        <w:rPr>
          <w:rFonts w:hint="eastAsia" w:ascii="仿宋_GB2312" w:hAnsi="仿宋_GB2312" w:eastAsia="仿宋_GB2312" w:cs="仿宋_GB2312"/>
          <w:color w:val="auto"/>
          <w:sz w:val="28"/>
          <w:szCs w:val="22"/>
          <w:highlight w:val="none"/>
          <w:lang w:val="en-US" w:eastAsia="en-US" w:bidi="ar-SA"/>
        </w:rPr>
      </w:pPr>
    </w:p>
    <w:p w14:paraId="061576A3">
      <w:pPr>
        <w:spacing w:line="291" w:lineRule="exact"/>
        <w:rPr>
          <w:rFonts w:hint="eastAsia" w:ascii="仿宋_GB2312" w:hAnsi="仿宋_GB2312" w:eastAsia="仿宋_GB2312" w:cs="仿宋_GB2312"/>
          <w:color w:val="auto"/>
          <w:sz w:val="28"/>
          <w:szCs w:val="22"/>
          <w:highlight w:val="none"/>
          <w:lang w:val="en-US" w:eastAsia="en-US" w:bidi="ar-SA"/>
        </w:rPr>
      </w:pPr>
    </w:p>
    <w:p w14:paraId="5A324B98">
      <w:pPr>
        <w:spacing w:line="291" w:lineRule="exact"/>
        <w:rPr>
          <w:rFonts w:hint="eastAsia" w:ascii="仿宋_GB2312" w:hAnsi="仿宋_GB2312" w:eastAsia="仿宋_GB2312" w:cs="仿宋_GB2312"/>
          <w:color w:val="auto"/>
          <w:sz w:val="28"/>
          <w:szCs w:val="22"/>
          <w:highlight w:val="none"/>
          <w:lang w:val="en-US" w:eastAsia="en-US" w:bidi="ar-SA"/>
        </w:rPr>
      </w:pPr>
    </w:p>
    <w:p w14:paraId="1343EF8F">
      <w:pPr>
        <w:spacing w:line="291" w:lineRule="exact"/>
        <w:rPr>
          <w:rFonts w:hint="eastAsia" w:ascii="仿宋_GB2312" w:hAnsi="仿宋_GB2312" w:eastAsia="仿宋_GB2312" w:cs="仿宋_GB2312"/>
          <w:color w:val="auto"/>
          <w:sz w:val="28"/>
          <w:szCs w:val="22"/>
          <w:highlight w:val="none"/>
          <w:lang w:val="en-US" w:eastAsia="en-US" w:bidi="ar-SA"/>
        </w:rPr>
      </w:pPr>
    </w:p>
    <w:p w14:paraId="5805966F">
      <w:pPr>
        <w:spacing w:line="291" w:lineRule="exact"/>
        <w:rPr>
          <w:rFonts w:hint="eastAsia" w:ascii="仿宋_GB2312" w:hAnsi="仿宋_GB2312" w:eastAsia="仿宋_GB2312" w:cs="仿宋_GB2312"/>
          <w:color w:val="auto"/>
          <w:sz w:val="28"/>
          <w:szCs w:val="22"/>
          <w:highlight w:val="none"/>
          <w:lang w:val="en-US" w:eastAsia="en-US" w:bidi="ar-SA"/>
        </w:rPr>
      </w:pPr>
    </w:p>
    <w:p w14:paraId="0C3D0298">
      <w:pPr>
        <w:spacing w:line="291" w:lineRule="exact"/>
        <w:rPr>
          <w:rFonts w:hint="eastAsia" w:ascii="仿宋_GB2312" w:hAnsi="仿宋_GB2312" w:eastAsia="仿宋_GB2312" w:cs="仿宋_GB2312"/>
          <w:color w:val="auto"/>
          <w:sz w:val="28"/>
          <w:szCs w:val="22"/>
          <w:highlight w:val="none"/>
          <w:lang w:val="en-US" w:eastAsia="en-US" w:bidi="ar-SA"/>
        </w:rPr>
      </w:pPr>
    </w:p>
    <w:p w14:paraId="49DD5599">
      <w:pPr>
        <w:spacing w:line="291" w:lineRule="exact"/>
        <w:rPr>
          <w:rFonts w:hint="eastAsia" w:ascii="仿宋_GB2312" w:hAnsi="仿宋_GB2312" w:eastAsia="仿宋_GB2312" w:cs="仿宋_GB2312"/>
          <w:color w:val="auto"/>
          <w:sz w:val="28"/>
          <w:szCs w:val="22"/>
          <w:highlight w:val="none"/>
          <w:lang w:val="en-US" w:eastAsia="en-US" w:bidi="ar-SA"/>
        </w:rPr>
      </w:pPr>
    </w:p>
    <w:p w14:paraId="7451DFD5">
      <w:pPr>
        <w:spacing w:line="291" w:lineRule="exact"/>
        <w:rPr>
          <w:rFonts w:hint="eastAsia" w:ascii="仿宋_GB2312" w:hAnsi="仿宋_GB2312" w:eastAsia="仿宋_GB2312" w:cs="仿宋_GB2312"/>
          <w:color w:val="auto"/>
          <w:sz w:val="28"/>
          <w:szCs w:val="22"/>
          <w:highlight w:val="none"/>
          <w:lang w:val="en-US" w:eastAsia="en-US" w:bidi="ar-SA"/>
        </w:rPr>
      </w:pPr>
    </w:p>
    <w:p w14:paraId="526EF384">
      <w:pPr>
        <w:spacing w:line="291" w:lineRule="exact"/>
        <w:rPr>
          <w:rFonts w:hint="eastAsia" w:ascii="仿宋_GB2312" w:hAnsi="仿宋_GB2312" w:eastAsia="仿宋_GB2312" w:cs="仿宋_GB2312"/>
          <w:color w:val="auto"/>
          <w:sz w:val="28"/>
          <w:szCs w:val="22"/>
          <w:highlight w:val="none"/>
          <w:lang w:val="en-US" w:eastAsia="en-US" w:bidi="ar-SA"/>
        </w:rPr>
      </w:pPr>
    </w:p>
    <w:p w14:paraId="74EF1AB4">
      <w:pPr>
        <w:spacing w:line="291" w:lineRule="exact"/>
        <w:rPr>
          <w:rFonts w:hint="eastAsia" w:ascii="仿宋_GB2312" w:hAnsi="仿宋_GB2312" w:eastAsia="仿宋_GB2312" w:cs="仿宋_GB2312"/>
          <w:color w:val="auto"/>
          <w:sz w:val="28"/>
          <w:szCs w:val="22"/>
          <w:highlight w:val="none"/>
          <w:lang w:val="en-US" w:eastAsia="en-US" w:bidi="ar-SA"/>
        </w:rPr>
      </w:pPr>
    </w:p>
    <w:p w14:paraId="3BC4FDA8">
      <w:pPr>
        <w:spacing w:line="291" w:lineRule="exact"/>
        <w:rPr>
          <w:rFonts w:hint="eastAsia" w:ascii="仿宋_GB2312" w:hAnsi="仿宋_GB2312" w:eastAsia="仿宋_GB2312" w:cs="仿宋_GB2312"/>
          <w:color w:val="auto"/>
          <w:sz w:val="28"/>
          <w:szCs w:val="22"/>
          <w:highlight w:val="none"/>
          <w:lang w:val="en-US" w:eastAsia="en-US" w:bidi="ar-SA"/>
        </w:rPr>
      </w:pPr>
    </w:p>
    <w:p w14:paraId="6BF7F617">
      <w:pPr>
        <w:spacing w:line="291" w:lineRule="exact"/>
        <w:rPr>
          <w:rFonts w:hint="eastAsia" w:ascii="仿宋_GB2312" w:hAnsi="仿宋_GB2312" w:eastAsia="仿宋_GB2312" w:cs="仿宋_GB2312"/>
          <w:color w:val="auto"/>
          <w:sz w:val="28"/>
          <w:szCs w:val="22"/>
          <w:highlight w:val="none"/>
          <w:lang w:val="en-US" w:eastAsia="en-US" w:bidi="ar-SA"/>
        </w:rPr>
      </w:pPr>
    </w:p>
    <w:p w14:paraId="07758262">
      <w:pPr>
        <w:spacing w:line="291" w:lineRule="exact"/>
        <w:rPr>
          <w:rFonts w:hint="eastAsia" w:ascii="仿宋_GB2312" w:hAnsi="仿宋_GB2312" w:eastAsia="仿宋_GB2312" w:cs="仿宋_GB2312"/>
          <w:color w:val="auto"/>
          <w:sz w:val="28"/>
          <w:szCs w:val="22"/>
          <w:highlight w:val="none"/>
          <w:lang w:val="en-US" w:eastAsia="en-US" w:bidi="ar-SA"/>
        </w:rPr>
      </w:pPr>
    </w:p>
    <w:p w14:paraId="21A8FE4A">
      <w:pPr>
        <w:spacing w:line="291" w:lineRule="exact"/>
        <w:rPr>
          <w:rFonts w:hint="eastAsia" w:ascii="仿宋_GB2312" w:hAnsi="仿宋_GB2312" w:eastAsia="仿宋_GB2312" w:cs="仿宋_GB2312"/>
          <w:color w:val="auto"/>
          <w:sz w:val="28"/>
          <w:szCs w:val="22"/>
          <w:highlight w:val="none"/>
          <w:lang w:val="en-US" w:eastAsia="en-US" w:bidi="ar-SA"/>
        </w:rPr>
      </w:pPr>
    </w:p>
    <w:p w14:paraId="3A33C47C">
      <w:pPr>
        <w:spacing w:line="291" w:lineRule="exact"/>
        <w:rPr>
          <w:rFonts w:hint="eastAsia" w:ascii="仿宋_GB2312" w:hAnsi="仿宋_GB2312" w:eastAsia="仿宋_GB2312" w:cs="仿宋_GB2312"/>
          <w:color w:val="auto"/>
          <w:sz w:val="28"/>
          <w:szCs w:val="22"/>
          <w:highlight w:val="none"/>
          <w:lang w:val="en-US" w:eastAsia="en-US" w:bidi="ar-SA"/>
        </w:rPr>
      </w:pPr>
    </w:p>
    <w:p w14:paraId="118D5F52">
      <w:pPr>
        <w:spacing w:line="291" w:lineRule="exact"/>
        <w:rPr>
          <w:rFonts w:hint="eastAsia" w:ascii="仿宋_GB2312" w:hAnsi="仿宋_GB2312" w:eastAsia="仿宋_GB2312" w:cs="仿宋_GB2312"/>
          <w:color w:val="auto"/>
          <w:sz w:val="28"/>
          <w:szCs w:val="22"/>
          <w:highlight w:val="none"/>
          <w:lang w:val="en-US" w:eastAsia="en-US" w:bidi="ar-SA"/>
        </w:rPr>
      </w:pPr>
    </w:p>
    <w:p w14:paraId="5E4332FC">
      <w:pPr>
        <w:spacing w:line="291" w:lineRule="exact"/>
        <w:rPr>
          <w:rFonts w:hint="eastAsia" w:ascii="仿宋_GB2312" w:hAnsi="仿宋_GB2312" w:eastAsia="仿宋_GB2312" w:cs="仿宋_GB2312"/>
          <w:color w:val="auto"/>
          <w:sz w:val="28"/>
          <w:szCs w:val="22"/>
          <w:highlight w:val="none"/>
          <w:lang w:val="en-US" w:eastAsia="en-US" w:bidi="ar-SA"/>
        </w:rPr>
      </w:pPr>
    </w:p>
    <w:p w14:paraId="46C0FF47">
      <w:pPr>
        <w:spacing w:line="291" w:lineRule="exact"/>
        <w:rPr>
          <w:rFonts w:hint="eastAsia" w:ascii="仿宋_GB2312" w:hAnsi="仿宋_GB2312" w:eastAsia="仿宋_GB2312" w:cs="仿宋_GB2312"/>
          <w:color w:val="auto"/>
          <w:sz w:val="28"/>
          <w:szCs w:val="22"/>
          <w:highlight w:val="none"/>
          <w:lang w:val="en-US" w:eastAsia="en-US" w:bidi="ar-SA"/>
        </w:rPr>
      </w:pPr>
    </w:p>
    <w:p w14:paraId="3DEABFC1">
      <w:pPr>
        <w:spacing w:line="291" w:lineRule="exact"/>
        <w:rPr>
          <w:rFonts w:hint="eastAsia" w:ascii="仿宋_GB2312" w:hAnsi="仿宋_GB2312" w:eastAsia="仿宋_GB2312" w:cs="仿宋_GB2312"/>
          <w:color w:val="auto"/>
          <w:sz w:val="28"/>
          <w:szCs w:val="22"/>
          <w:highlight w:val="none"/>
          <w:lang w:val="en-US" w:eastAsia="en-US" w:bidi="ar-SA"/>
        </w:rPr>
      </w:pPr>
    </w:p>
    <w:p w14:paraId="766F5669">
      <w:pPr>
        <w:spacing w:line="291" w:lineRule="exact"/>
        <w:rPr>
          <w:rFonts w:hint="eastAsia" w:ascii="仿宋_GB2312" w:hAnsi="仿宋_GB2312" w:eastAsia="仿宋_GB2312" w:cs="仿宋_GB2312"/>
          <w:color w:val="auto"/>
          <w:sz w:val="28"/>
          <w:szCs w:val="22"/>
          <w:highlight w:val="none"/>
          <w:lang w:val="en-US" w:eastAsia="en-US" w:bidi="ar-SA"/>
        </w:rPr>
      </w:pPr>
    </w:p>
    <w:p w14:paraId="4E23DAF2">
      <w:pPr>
        <w:spacing w:line="291" w:lineRule="exact"/>
        <w:rPr>
          <w:rFonts w:hint="eastAsia" w:ascii="仿宋_GB2312" w:hAnsi="仿宋_GB2312" w:eastAsia="仿宋_GB2312" w:cs="仿宋_GB2312"/>
          <w:color w:val="auto"/>
          <w:sz w:val="28"/>
          <w:szCs w:val="22"/>
          <w:highlight w:val="none"/>
          <w:lang w:val="en-US" w:eastAsia="en-US" w:bidi="ar-SA"/>
        </w:rPr>
      </w:pPr>
    </w:p>
    <w:p w14:paraId="7C3AC95E">
      <w:pPr>
        <w:spacing w:line="291" w:lineRule="exact"/>
        <w:rPr>
          <w:rFonts w:hint="eastAsia" w:ascii="仿宋_GB2312" w:hAnsi="仿宋_GB2312" w:eastAsia="仿宋_GB2312" w:cs="仿宋_GB2312"/>
          <w:color w:val="auto"/>
          <w:sz w:val="28"/>
          <w:szCs w:val="22"/>
          <w:highlight w:val="none"/>
          <w:lang w:val="en-US" w:eastAsia="en-US" w:bidi="ar-SA"/>
        </w:rPr>
      </w:pPr>
    </w:p>
    <w:p w14:paraId="52AEF01E">
      <w:pPr>
        <w:spacing w:line="291" w:lineRule="exact"/>
        <w:rPr>
          <w:rFonts w:hint="eastAsia" w:ascii="仿宋_GB2312" w:hAnsi="仿宋_GB2312" w:eastAsia="仿宋_GB2312" w:cs="仿宋_GB2312"/>
          <w:color w:val="auto"/>
          <w:sz w:val="28"/>
          <w:szCs w:val="22"/>
          <w:highlight w:val="none"/>
          <w:lang w:val="en-US" w:eastAsia="en-US" w:bidi="ar-SA"/>
        </w:rPr>
      </w:pPr>
    </w:p>
    <w:p w14:paraId="65A42745">
      <w:pPr>
        <w:jc w:val="both"/>
        <w:rPr>
          <w:rFonts w:hint="eastAsia" w:ascii="仿宋_GB2312" w:hAnsi="仿宋_GB2312" w:eastAsia="仿宋_GB2312" w:cs="仿宋_GB2312"/>
          <w:color w:val="auto"/>
          <w:highlight w:val="none"/>
          <w:lang w:val="en-US" w:eastAsia="en-US"/>
        </w:rPr>
      </w:pPr>
      <w:bookmarkStart w:id="115" w:name="_Toc26615_WPSOffice_Level1"/>
      <w:bookmarkStart w:id="116" w:name="_Toc620_WPSOffice_Level1"/>
      <w:bookmarkStart w:id="117" w:name="_Toc23699_WPSOffice_Level1"/>
      <w:bookmarkStart w:id="118" w:name="_Toc15345"/>
      <w:bookmarkStart w:id="119" w:name="_Toc22727_WPSOffice_Level1"/>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lang w:val="en-US" w:eastAsia="en-US"/>
        </w:rPr>
        <w:t>：</w:t>
      </w:r>
    </w:p>
    <w:p w14:paraId="320B8382">
      <w:pPr>
        <w:pStyle w:val="3"/>
        <w:spacing w:before="0" w:after="0" w:line="360" w:lineRule="auto"/>
        <w:jc w:val="center"/>
        <w:rPr>
          <w:rFonts w:hint="eastAsia" w:ascii="仿宋_GB2312" w:hAnsi="仿宋_GB2312" w:eastAsia="仿宋_GB2312" w:cs="仿宋_GB2312"/>
          <w:color w:val="auto"/>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一</w:t>
      </w:r>
      <w:r>
        <w:rPr>
          <w:rFonts w:hint="eastAsia" w:ascii="仿宋_GB2312" w:hAnsi="仿宋_GB2312" w:eastAsia="仿宋_GB2312" w:cs="仿宋_GB2312"/>
          <w:b w:val="0"/>
          <w:bCs w:val="0"/>
          <w:color w:val="auto"/>
          <w:sz w:val="28"/>
          <w:szCs w:val="28"/>
          <w:highlight w:val="none"/>
        </w:rPr>
        <w:t>、政府采购政策情况表</w:t>
      </w:r>
      <w:bookmarkEnd w:id="115"/>
      <w:bookmarkEnd w:id="116"/>
      <w:bookmarkEnd w:id="117"/>
      <w:bookmarkEnd w:id="118"/>
      <w:bookmarkEnd w:id="11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auto"/>
          <w:sz w:val="24"/>
          <w:szCs w:val="24"/>
          <w:highlight w:val="none"/>
        </w:rPr>
      </w:pPr>
    </w:p>
    <w:p w14:paraId="4056ADE2">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填报要求：</w:t>
      </w:r>
      <w:r>
        <w:rPr>
          <w:rFonts w:hint="eastAsia" w:ascii="仿宋_GB2312" w:hAnsi="仿宋_GB2312" w:eastAsia="仿宋_GB2312" w:cs="仿宋_GB2312"/>
          <w:color w:val="auto"/>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auto"/>
          <w:sz w:val="24"/>
          <w:szCs w:val="24"/>
          <w:highlight w:val="none"/>
        </w:rPr>
      </w:pPr>
      <w:bookmarkStart w:id="120" w:name="_Toc20082"/>
      <w:r>
        <w:rPr>
          <w:rFonts w:hint="eastAsia" w:ascii="仿宋_GB2312" w:hAnsi="仿宋_GB2312" w:eastAsia="仿宋_GB2312" w:cs="仿宋_GB2312"/>
          <w:color w:val="auto"/>
          <w:sz w:val="24"/>
          <w:szCs w:val="24"/>
          <w:highlight w:val="none"/>
        </w:rPr>
        <w:t>说明：如是监狱企业，需在本表后附后证明文件。</w:t>
      </w: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b w:val="0"/>
          <w:bCs w:val="0"/>
          <w:color w:val="auto"/>
          <w:sz w:val="28"/>
          <w:szCs w:val="28"/>
          <w:highlight w:val="none"/>
        </w:rPr>
        <w:t>格式十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w:t>
      </w:r>
      <w:bookmarkEnd w:id="120"/>
    </w:p>
    <w:p w14:paraId="1DE852F3">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21" w:name="_Toc26418_WPSOffice_Level1"/>
      <w:bookmarkStart w:id="122" w:name="_Toc7827_WPSOffice_Level1"/>
      <w:bookmarkStart w:id="123" w:name="_Toc2206_WPSOffice_Level1"/>
      <w:bookmarkStart w:id="124" w:name="_Toc11478"/>
      <w:bookmarkStart w:id="125" w:name="_Toc2715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二</w:t>
      </w:r>
      <w:r>
        <w:rPr>
          <w:rFonts w:hint="eastAsia" w:ascii="仿宋_GB2312" w:hAnsi="仿宋_GB2312" w:eastAsia="仿宋_GB2312" w:cs="仿宋_GB2312"/>
          <w:b w:val="0"/>
          <w:bCs w:val="0"/>
          <w:color w:val="auto"/>
          <w:sz w:val="28"/>
          <w:szCs w:val="28"/>
          <w:highlight w:val="none"/>
        </w:rPr>
        <w:t>、中小企业声明函</w:t>
      </w:r>
      <w:bookmarkEnd w:id="121"/>
      <w:bookmarkEnd w:id="122"/>
      <w:bookmarkEnd w:id="123"/>
      <w:bookmarkEnd w:id="124"/>
      <w:bookmarkEnd w:id="125"/>
    </w:p>
    <w:p w14:paraId="3AA7570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本公司郑重声明，根据《政府采购促进中小企业发展暂行办法》（财库[2011]181号）的规定，本公司为</w:t>
      </w:r>
      <w:bookmarkStart w:id="126" w:name="OLE_LINK5"/>
      <w:bookmarkStart w:id="127" w:name="OLE_LINK2"/>
      <w:r>
        <w:rPr>
          <w:rFonts w:hint="eastAsia" w:ascii="仿宋_GB2312" w:hAnsi="仿宋_GB2312" w:eastAsia="仿宋_GB2312" w:cs="仿宋_GB2312"/>
          <w:color w:val="auto"/>
          <w:kern w:val="0"/>
          <w:sz w:val="24"/>
          <w:szCs w:val="24"/>
          <w:highlight w:val="none"/>
        </w:rPr>
        <w:t>______（请填写：中型、小型、微型）企业</w:t>
      </w:r>
      <w:bookmarkEnd w:id="126"/>
      <w:bookmarkEnd w:id="127"/>
      <w:r>
        <w:rPr>
          <w:rFonts w:hint="eastAsia" w:ascii="仿宋_GB2312" w:hAnsi="仿宋_GB2312" w:eastAsia="仿宋_GB2312" w:cs="仿宋_GB2312"/>
          <w:color w:val="auto"/>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128" w:name="_Toc25335_WPSOffice_Level2"/>
      <w:bookmarkStart w:id="129" w:name="_Toc59_WPSOffice_Level2"/>
      <w:bookmarkStart w:id="130" w:name="_Toc4147_WPSOffice_Level2"/>
      <w:bookmarkStart w:id="131" w:name="_Toc30542_WPSOffice_Level2"/>
      <w:r>
        <w:rPr>
          <w:rFonts w:hint="eastAsia" w:ascii="仿宋_GB2312" w:hAnsi="仿宋_GB2312" w:eastAsia="仿宋_GB2312" w:cs="仿宋_GB2312"/>
          <w:color w:val="auto"/>
          <w:sz w:val="24"/>
          <w:szCs w:val="24"/>
          <w:highlight w:val="none"/>
        </w:rPr>
        <w:t>日    期：</w:t>
      </w:r>
      <w:bookmarkEnd w:id="128"/>
      <w:bookmarkEnd w:id="129"/>
      <w:bookmarkEnd w:id="130"/>
      <w:bookmarkEnd w:id="131"/>
    </w:p>
    <w:p w14:paraId="4229E1C5">
      <w:pPr>
        <w:tabs>
          <w:tab w:val="left" w:pos="4860"/>
        </w:tabs>
        <w:spacing w:line="588" w:lineRule="exact"/>
        <w:ind w:right="156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br w:type="page"/>
      </w:r>
      <w:bookmarkStart w:id="132" w:name="_Toc2169_WPSOffice_Level1"/>
      <w:bookmarkStart w:id="133" w:name="_Toc16142_WPSOffice_Level1"/>
      <w:bookmarkStart w:id="134" w:name="_Toc21794_WPSOffice_Level1"/>
      <w:bookmarkStart w:id="135" w:name="_Toc131_WPSOffice_Level1"/>
      <w:r>
        <w:rPr>
          <w:rFonts w:hint="eastAsia" w:ascii="仿宋_GB2312" w:hAnsi="仿宋_GB2312" w:eastAsia="仿宋_GB2312" w:cs="仿宋_GB2312"/>
          <w:b w:val="0"/>
          <w:bCs w:val="0"/>
          <w:color w:val="auto"/>
          <w:kern w:val="0"/>
          <w:sz w:val="28"/>
          <w:szCs w:val="28"/>
          <w:highlight w:val="none"/>
        </w:rPr>
        <w:t>格式十</w:t>
      </w:r>
      <w:r>
        <w:rPr>
          <w:rFonts w:hint="eastAsia" w:ascii="仿宋_GB2312" w:hAnsi="仿宋_GB2312" w:eastAsia="仿宋_GB2312" w:cs="仿宋_GB2312"/>
          <w:b w:val="0"/>
          <w:bCs w:val="0"/>
          <w:color w:val="auto"/>
          <w:kern w:val="0"/>
          <w:sz w:val="28"/>
          <w:szCs w:val="28"/>
          <w:highlight w:val="none"/>
          <w:lang w:eastAsia="zh-CN"/>
        </w:rPr>
        <w:t>五</w:t>
      </w:r>
      <w:r>
        <w:rPr>
          <w:rFonts w:hint="eastAsia" w:ascii="仿宋_GB2312" w:hAnsi="仿宋_GB2312" w:eastAsia="仿宋_GB2312" w:cs="仿宋_GB2312"/>
          <w:b w:val="0"/>
          <w:bCs w:val="0"/>
          <w:color w:val="auto"/>
          <w:kern w:val="0"/>
          <w:sz w:val="28"/>
          <w:szCs w:val="28"/>
          <w:highlight w:val="none"/>
        </w:rPr>
        <w:t>：</w:t>
      </w:r>
      <w:bookmarkEnd w:id="132"/>
      <w:bookmarkEnd w:id="133"/>
      <w:bookmarkEnd w:id="134"/>
      <w:bookmarkEnd w:id="135"/>
    </w:p>
    <w:p w14:paraId="53C9F9AB">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6" w:name="_Toc23605_WPSOffice_Level1"/>
      <w:bookmarkStart w:id="137" w:name="_Toc31027_WPSOffice_Level1"/>
      <w:bookmarkStart w:id="138" w:name="_Toc6915_WPSOffice_Level1"/>
      <w:bookmarkStart w:id="139" w:name="_Toc32398_WPSOffice_Level1"/>
      <w:bookmarkStart w:id="140" w:name="_Toc31330"/>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三</w:t>
      </w:r>
      <w:r>
        <w:rPr>
          <w:rFonts w:hint="eastAsia" w:ascii="仿宋_GB2312" w:hAnsi="仿宋_GB2312" w:eastAsia="仿宋_GB2312" w:cs="仿宋_GB2312"/>
          <w:b w:val="0"/>
          <w:bCs w:val="0"/>
          <w:color w:val="auto"/>
          <w:sz w:val="28"/>
          <w:szCs w:val="28"/>
          <w:highlight w:val="none"/>
        </w:rPr>
        <w:t>、小微企业截图</w:t>
      </w:r>
      <w:bookmarkEnd w:id="136"/>
      <w:bookmarkEnd w:id="137"/>
      <w:bookmarkEnd w:id="138"/>
      <w:bookmarkEnd w:id="139"/>
      <w:bookmarkEnd w:id="140"/>
    </w:p>
    <w:p w14:paraId="2BBD42F2">
      <w:pPr>
        <w:tabs>
          <w:tab w:val="left" w:pos="4860"/>
        </w:tabs>
        <w:spacing w:line="588" w:lineRule="exact"/>
        <w:ind w:right="1560"/>
        <w:rPr>
          <w:rFonts w:hint="eastAsia" w:ascii="仿宋_GB2312" w:hAnsi="仿宋_GB2312" w:eastAsia="仿宋_GB2312" w:cs="仿宋_GB2312"/>
          <w:color w:val="auto"/>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rPr>
        <w:t>格式</w:t>
      </w:r>
      <w:r>
        <w:rPr>
          <w:rFonts w:hint="eastAsia" w:ascii="仿宋_GB2312" w:hAnsi="仿宋_GB2312" w:eastAsia="仿宋_GB2312" w:cs="仿宋_GB2312"/>
          <w:b w:val="0"/>
          <w:bCs w:val="0"/>
          <w:color w:val="auto"/>
          <w:kern w:val="0"/>
          <w:sz w:val="28"/>
          <w:szCs w:val="28"/>
          <w:highlight w:val="none"/>
          <w:lang w:eastAsia="zh-CN"/>
        </w:rPr>
        <w:t>十六</w:t>
      </w:r>
      <w:r>
        <w:rPr>
          <w:rFonts w:hint="eastAsia" w:ascii="仿宋_GB2312" w:hAnsi="仿宋_GB2312" w:eastAsia="仿宋_GB2312" w:cs="仿宋_GB2312"/>
          <w:b w:val="0"/>
          <w:bCs w:val="0"/>
          <w:color w:val="auto"/>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41" w:name="_Toc2230_WPSOffice_Level1"/>
      <w:bookmarkStart w:id="142" w:name="_Toc5952_WPSOffice_Level1"/>
      <w:bookmarkStart w:id="143" w:name="_Toc20350_WPSOffice_Level1"/>
      <w:bookmarkStart w:id="144" w:name="_Toc6213"/>
      <w:bookmarkStart w:id="145" w:name="_Toc11893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、残疾人福利性单位声明函</w:t>
      </w:r>
      <w:bookmarkEnd w:id="141"/>
      <w:bookmarkEnd w:id="142"/>
      <w:bookmarkEnd w:id="143"/>
      <w:bookmarkEnd w:id="144"/>
      <w:bookmarkEnd w:id="145"/>
    </w:p>
    <w:p w14:paraId="7A9C51F2">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auto"/>
          <w:sz w:val="24"/>
          <w:szCs w:val="24"/>
          <w:highlight w:val="none"/>
        </w:rPr>
      </w:pPr>
    </w:p>
    <w:p w14:paraId="1E6ED585">
      <w:pPr>
        <w:spacing w:line="360" w:lineRule="auto"/>
        <w:ind w:firstLine="2160" w:firstLineChars="900"/>
        <w:rPr>
          <w:rFonts w:hint="eastAsia" w:ascii="仿宋_GB2312" w:hAnsi="仿宋_GB2312" w:eastAsia="仿宋_GB2312" w:cs="仿宋_GB2312"/>
          <w:color w:val="auto"/>
          <w:sz w:val="24"/>
          <w:szCs w:val="24"/>
          <w:highlight w:val="none"/>
        </w:rPr>
      </w:pPr>
    </w:p>
    <w:p w14:paraId="0506BC78">
      <w:pPr>
        <w:spacing w:line="360" w:lineRule="auto"/>
        <w:ind w:firstLine="2160" w:firstLineChars="900"/>
        <w:rPr>
          <w:rFonts w:hint="eastAsia" w:ascii="仿宋_GB2312" w:hAnsi="仿宋_GB2312" w:eastAsia="仿宋_GB2312" w:cs="仿宋_GB2312"/>
          <w:color w:val="auto"/>
          <w:sz w:val="24"/>
          <w:szCs w:val="24"/>
          <w:highlight w:val="none"/>
        </w:rPr>
      </w:pPr>
    </w:p>
    <w:p w14:paraId="3C57754F">
      <w:pPr>
        <w:spacing w:line="360" w:lineRule="auto"/>
        <w:ind w:firstLine="4080" w:firstLineChars="17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法定代表或其授权人（签字）：</w:t>
      </w:r>
    </w:p>
    <w:p w14:paraId="03560630">
      <w:pPr>
        <w:spacing w:line="291" w:lineRule="exact"/>
        <w:rPr>
          <w:rFonts w:hint="eastAsia" w:ascii="仿宋_GB2312" w:hAnsi="仿宋_GB2312" w:eastAsia="仿宋_GB2312" w:cs="仿宋_GB2312"/>
          <w:color w:val="auto"/>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lang w:val="en-US" w:eastAsia="en-US"/>
        </w:rPr>
        <w:t>格式十</w:t>
      </w:r>
      <w:r>
        <w:rPr>
          <w:rFonts w:hint="eastAsia" w:ascii="仿宋_GB2312" w:hAnsi="仿宋_GB2312" w:eastAsia="仿宋_GB2312" w:cs="仿宋_GB2312"/>
          <w:b w:val="0"/>
          <w:bCs w:val="0"/>
          <w:color w:val="auto"/>
          <w:kern w:val="0"/>
          <w:sz w:val="28"/>
          <w:szCs w:val="28"/>
          <w:highlight w:val="none"/>
          <w:lang w:val="en-US" w:eastAsia="zh-CN"/>
        </w:rPr>
        <w:t>七</w:t>
      </w:r>
      <w:r>
        <w:rPr>
          <w:rFonts w:hint="eastAsia" w:ascii="仿宋_GB2312" w:hAnsi="仿宋_GB2312" w:eastAsia="仿宋_GB2312" w:cs="仿宋_GB2312"/>
          <w:b w:val="0"/>
          <w:bCs w:val="0"/>
          <w:color w:val="auto"/>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auto"/>
          <w:sz w:val="28"/>
          <w:szCs w:val="28"/>
          <w:highlight w:val="none"/>
          <w:lang w:val="en-US" w:eastAsia="en-US" w:bidi="ar-SA"/>
        </w:rPr>
      </w:pPr>
      <w:r>
        <w:rPr>
          <w:rFonts w:hint="eastAsia" w:ascii="仿宋_GB2312" w:hAnsi="仿宋_GB2312" w:eastAsia="仿宋_GB2312" w:cs="仿宋_GB2312"/>
          <w:color w:val="auto"/>
          <w:spacing w:val="1"/>
          <w:sz w:val="28"/>
          <w:szCs w:val="28"/>
          <w:highlight w:val="none"/>
          <w:lang w:val="en-US" w:eastAsia="en-US" w:bidi="ar-SA"/>
        </w:rPr>
        <w:t>十</w:t>
      </w:r>
      <w:r>
        <w:rPr>
          <w:rFonts w:hint="eastAsia" w:ascii="仿宋_GB2312" w:hAnsi="仿宋_GB2312" w:eastAsia="仿宋_GB2312" w:cs="仿宋_GB2312"/>
          <w:color w:val="auto"/>
          <w:spacing w:val="1"/>
          <w:sz w:val="28"/>
          <w:szCs w:val="28"/>
          <w:highlight w:val="none"/>
          <w:lang w:val="en-US" w:eastAsia="zh-CN" w:bidi="ar-SA"/>
        </w:rPr>
        <w:t>五</w:t>
      </w:r>
      <w:r>
        <w:rPr>
          <w:rFonts w:hint="eastAsia" w:ascii="仿宋_GB2312" w:hAnsi="仿宋_GB2312" w:eastAsia="仿宋_GB2312" w:cs="仿宋_GB2312"/>
          <w:color w:val="auto"/>
          <w:spacing w:val="1"/>
          <w:sz w:val="28"/>
          <w:szCs w:val="28"/>
          <w:highlight w:val="none"/>
          <w:lang w:val="en-US" w:eastAsia="en-US" w:bidi="ar-SA"/>
        </w:rPr>
        <w:t>、各类证明材料</w:t>
      </w:r>
    </w:p>
    <w:p w14:paraId="4163570F">
      <w:pPr>
        <w:spacing w:before="81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1</w:t>
      </w:r>
      <w:r>
        <w:rPr>
          <w:rFonts w:hint="eastAsia" w:ascii="仿宋_GB2312" w:hAnsi="仿宋_GB2312" w:eastAsia="仿宋_GB2312" w:cs="仿宋_GB2312"/>
          <w:color w:val="auto"/>
          <w:sz w:val="21"/>
          <w:szCs w:val="22"/>
          <w:highlight w:val="none"/>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2</w:t>
      </w:r>
      <w:r>
        <w:rPr>
          <w:rFonts w:hint="eastAsia" w:ascii="仿宋_GB2312" w:hAnsi="仿宋_GB2312" w:eastAsia="仿宋_GB2312" w:cs="仿宋_GB2312"/>
          <w:color w:val="auto"/>
          <w:sz w:val="21"/>
          <w:szCs w:val="22"/>
          <w:highlight w:val="none"/>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3</w:t>
      </w:r>
      <w:r>
        <w:rPr>
          <w:rFonts w:hint="eastAsia" w:ascii="仿宋_GB2312" w:hAnsi="仿宋_GB2312" w:eastAsia="仿宋_GB2312" w:cs="仿宋_GB2312"/>
          <w:color w:val="auto"/>
          <w:sz w:val="21"/>
          <w:szCs w:val="22"/>
          <w:highlight w:val="none"/>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auto"/>
          <w:sz w:val="28"/>
          <w:szCs w:val="22"/>
          <w:highlight w:val="none"/>
          <w:lang w:val="en-US" w:eastAsia="en-US" w:bidi="ar-SA"/>
        </w:rPr>
      </w:pPr>
    </w:p>
    <w:p w14:paraId="58A2DC46">
      <w:pPr>
        <w:spacing w:line="291" w:lineRule="exact"/>
        <w:rPr>
          <w:rFonts w:hint="eastAsia" w:ascii="仿宋_GB2312" w:hAnsi="仿宋_GB2312" w:eastAsia="仿宋_GB2312" w:cs="仿宋_GB2312"/>
          <w:color w:val="auto"/>
          <w:sz w:val="28"/>
          <w:szCs w:val="22"/>
          <w:highlight w:val="none"/>
          <w:lang w:val="en-US" w:eastAsia="en-US" w:bidi="ar-SA"/>
        </w:rPr>
      </w:pPr>
    </w:p>
    <w:p w14:paraId="74137D6B">
      <w:pPr>
        <w:spacing w:line="291" w:lineRule="exact"/>
        <w:rPr>
          <w:rFonts w:hint="eastAsia" w:ascii="仿宋_GB2312" w:hAnsi="仿宋_GB2312" w:eastAsia="仿宋_GB2312" w:cs="仿宋_GB2312"/>
          <w:color w:val="auto"/>
          <w:sz w:val="28"/>
          <w:szCs w:val="22"/>
          <w:highlight w:val="none"/>
          <w:lang w:val="en-US" w:eastAsia="en-US" w:bidi="ar-SA"/>
        </w:rPr>
      </w:pPr>
    </w:p>
    <w:p w14:paraId="6AC5A988">
      <w:pPr>
        <w:spacing w:line="291" w:lineRule="exact"/>
        <w:rPr>
          <w:rFonts w:hint="eastAsia" w:ascii="仿宋_GB2312" w:hAnsi="仿宋_GB2312" w:eastAsia="仿宋_GB2312" w:cs="仿宋_GB2312"/>
          <w:color w:val="auto"/>
          <w:sz w:val="28"/>
          <w:szCs w:val="22"/>
          <w:highlight w:val="none"/>
          <w:lang w:val="en-US" w:eastAsia="en-US" w:bidi="ar-SA"/>
        </w:rPr>
      </w:pPr>
    </w:p>
    <w:p w14:paraId="3A0E43BC">
      <w:pPr>
        <w:spacing w:line="291" w:lineRule="exact"/>
        <w:rPr>
          <w:rFonts w:hint="eastAsia" w:ascii="仿宋_GB2312" w:hAnsi="仿宋_GB2312" w:eastAsia="仿宋_GB2312" w:cs="仿宋_GB2312"/>
          <w:color w:val="auto"/>
          <w:sz w:val="28"/>
          <w:szCs w:val="22"/>
          <w:highlight w:val="none"/>
          <w:lang w:val="en-US" w:eastAsia="en-US" w:bidi="ar-SA"/>
        </w:rPr>
      </w:pPr>
    </w:p>
    <w:p w14:paraId="0CE375C8">
      <w:pPr>
        <w:spacing w:line="291" w:lineRule="exact"/>
        <w:rPr>
          <w:rFonts w:hint="eastAsia" w:ascii="仿宋_GB2312" w:hAnsi="仿宋_GB2312" w:eastAsia="仿宋_GB2312" w:cs="仿宋_GB2312"/>
          <w:color w:val="auto"/>
          <w:sz w:val="28"/>
          <w:szCs w:val="22"/>
          <w:highlight w:val="none"/>
          <w:lang w:val="en-US" w:eastAsia="en-US" w:bidi="ar-SA"/>
        </w:rPr>
      </w:pPr>
    </w:p>
    <w:p w14:paraId="40B76386">
      <w:pPr>
        <w:spacing w:line="291" w:lineRule="exact"/>
        <w:rPr>
          <w:rFonts w:hint="eastAsia" w:ascii="仿宋_GB2312" w:hAnsi="仿宋_GB2312" w:eastAsia="仿宋_GB2312" w:cs="仿宋_GB2312"/>
          <w:color w:val="auto"/>
          <w:sz w:val="28"/>
          <w:szCs w:val="22"/>
          <w:highlight w:val="none"/>
          <w:lang w:val="en-US" w:eastAsia="en-US" w:bidi="ar-SA"/>
        </w:rPr>
      </w:pPr>
    </w:p>
    <w:p w14:paraId="05676AC9">
      <w:pPr>
        <w:spacing w:line="291" w:lineRule="exact"/>
        <w:rPr>
          <w:rFonts w:hint="eastAsia" w:ascii="仿宋_GB2312" w:hAnsi="仿宋_GB2312" w:eastAsia="仿宋_GB2312" w:cs="仿宋_GB2312"/>
          <w:color w:val="auto"/>
          <w:sz w:val="28"/>
          <w:szCs w:val="22"/>
          <w:highlight w:val="none"/>
          <w:lang w:val="en-US" w:eastAsia="en-US" w:bidi="ar-SA"/>
        </w:rPr>
      </w:pPr>
    </w:p>
    <w:p w14:paraId="2B6A8E06">
      <w:pPr>
        <w:spacing w:line="291" w:lineRule="exact"/>
        <w:rPr>
          <w:rFonts w:hint="eastAsia" w:ascii="仿宋_GB2312" w:hAnsi="仿宋_GB2312" w:eastAsia="仿宋_GB2312" w:cs="仿宋_GB2312"/>
          <w:color w:val="auto"/>
          <w:sz w:val="28"/>
          <w:szCs w:val="22"/>
          <w:highlight w:val="none"/>
          <w:lang w:val="en-US" w:eastAsia="en-US" w:bidi="ar-SA"/>
        </w:rPr>
      </w:pPr>
    </w:p>
    <w:p w14:paraId="3463F040">
      <w:pPr>
        <w:spacing w:line="291" w:lineRule="exact"/>
        <w:rPr>
          <w:rFonts w:hint="eastAsia" w:ascii="仿宋_GB2312" w:hAnsi="仿宋_GB2312" w:eastAsia="仿宋_GB2312" w:cs="仿宋_GB2312"/>
          <w:color w:val="auto"/>
          <w:sz w:val="28"/>
          <w:szCs w:val="22"/>
          <w:highlight w:val="none"/>
          <w:lang w:val="en-US" w:eastAsia="en-US" w:bidi="ar-SA"/>
        </w:rPr>
      </w:pPr>
    </w:p>
    <w:p w14:paraId="65A85737">
      <w:pPr>
        <w:spacing w:line="291" w:lineRule="exact"/>
        <w:rPr>
          <w:rFonts w:hint="eastAsia" w:ascii="仿宋_GB2312" w:hAnsi="仿宋_GB2312" w:eastAsia="仿宋_GB2312" w:cs="仿宋_GB2312"/>
          <w:color w:val="auto"/>
          <w:sz w:val="28"/>
          <w:szCs w:val="22"/>
          <w:highlight w:val="none"/>
          <w:lang w:val="en-US" w:eastAsia="en-US" w:bidi="ar-SA"/>
        </w:rPr>
      </w:pPr>
    </w:p>
    <w:p w14:paraId="3B1E1B19">
      <w:pPr>
        <w:spacing w:line="291" w:lineRule="exact"/>
        <w:rPr>
          <w:rFonts w:hint="eastAsia" w:ascii="仿宋_GB2312" w:hAnsi="仿宋_GB2312" w:eastAsia="仿宋_GB2312" w:cs="仿宋_GB2312"/>
          <w:color w:val="auto"/>
          <w:sz w:val="28"/>
          <w:szCs w:val="22"/>
          <w:highlight w:val="none"/>
          <w:lang w:val="en-US" w:eastAsia="en-US" w:bidi="ar-SA"/>
        </w:rPr>
      </w:pPr>
    </w:p>
    <w:p w14:paraId="2EB15666">
      <w:pPr>
        <w:spacing w:line="291" w:lineRule="exact"/>
        <w:rPr>
          <w:rFonts w:hint="eastAsia" w:ascii="仿宋_GB2312" w:hAnsi="仿宋_GB2312" w:eastAsia="仿宋_GB2312" w:cs="仿宋_GB2312"/>
          <w:color w:val="auto"/>
          <w:sz w:val="28"/>
          <w:szCs w:val="22"/>
          <w:highlight w:val="none"/>
          <w:lang w:val="en-US" w:eastAsia="en-US" w:bidi="ar-SA"/>
        </w:rPr>
      </w:pPr>
    </w:p>
    <w:p w14:paraId="162A2050">
      <w:pPr>
        <w:spacing w:line="291" w:lineRule="exact"/>
        <w:rPr>
          <w:rFonts w:hint="eastAsia" w:ascii="仿宋_GB2312" w:hAnsi="仿宋_GB2312" w:eastAsia="仿宋_GB2312" w:cs="仿宋_GB2312"/>
          <w:color w:val="auto"/>
          <w:sz w:val="28"/>
          <w:szCs w:val="22"/>
          <w:highlight w:val="none"/>
          <w:lang w:val="en-US" w:eastAsia="en-US" w:bidi="ar-SA"/>
        </w:rPr>
      </w:pPr>
    </w:p>
    <w:p w14:paraId="1420A506">
      <w:pPr>
        <w:spacing w:line="291" w:lineRule="exact"/>
        <w:rPr>
          <w:rFonts w:hint="eastAsia" w:ascii="仿宋_GB2312" w:hAnsi="仿宋_GB2312" w:eastAsia="仿宋_GB2312" w:cs="仿宋_GB2312"/>
          <w:color w:val="auto"/>
          <w:sz w:val="28"/>
          <w:szCs w:val="22"/>
          <w:highlight w:val="none"/>
          <w:lang w:val="en-US" w:eastAsia="en-US" w:bidi="ar-SA"/>
        </w:rPr>
      </w:pPr>
    </w:p>
    <w:p w14:paraId="2A8CB9D5">
      <w:pPr>
        <w:spacing w:line="291" w:lineRule="exact"/>
        <w:rPr>
          <w:rFonts w:hint="eastAsia" w:ascii="仿宋_GB2312" w:hAnsi="仿宋_GB2312" w:eastAsia="仿宋_GB2312" w:cs="仿宋_GB2312"/>
          <w:color w:val="auto"/>
          <w:sz w:val="28"/>
          <w:szCs w:val="22"/>
          <w:highlight w:val="none"/>
          <w:lang w:val="en-US" w:eastAsia="en-US" w:bidi="ar-SA"/>
        </w:rPr>
      </w:pPr>
    </w:p>
    <w:p w14:paraId="6253FDAB">
      <w:pPr>
        <w:spacing w:line="291" w:lineRule="exact"/>
        <w:rPr>
          <w:rFonts w:hint="eastAsia" w:ascii="仿宋_GB2312" w:hAnsi="仿宋_GB2312" w:eastAsia="仿宋_GB2312" w:cs="仿宋_GB2312"/>
          <w:color w:val="auto"/>
          <w:sz w:val="28"/>
          <w:szCs w:val="22"/>
          <w:highlight w:val="none"/>
          <w:lang w:val="en-US" w:eastAsia="en-US" w:bidi="ar-SA"/>
        </w:rPr>
      </w:pPr>
    </w:p>
    <w:p w14:paraId="0AE6F9C1">
      <w:pPr>
        <w:spacing w:line="291" w:lineRule="exact"/>
        <w:rPr>
          <w:rFonts w:hint="eastAsia" w:ascii="仿宋_GB2312" w:hAnsi="仿宋_GB2312" w:eastAsia="仿宋_GB2312" w:cs="仿宋_GB2312"/>
          <w:color w:val="auto"/>
          <w:sz w:val="28"/>
          <w:szCs w:val="22"/>
          <w:highlight w:val="none"/>
          <w:lang w:val="en-US" w:eastAsia="en-US" w:bidi="ar-SA"/>
        </w:rPr>
      </w:pPr>
    </w:p>
    <w:p w14:paraId="78B0A82D">
      <w:pPr>
        <w:spacing w:line="291" w:lineRule="exact"/>
        <w:rPr>
          <w:rFonts w:hint="eastAsia" w:ascii="仿宋_GB2312" w:hAnsi="仿宋_GB2312" w:eastAsia="仿宋_GB2312" w:cs="仿宋_GB2312"/>
          <w:color w:val="auto"/>
          <w:sz w:val="28"/>
          <w:szCs w:val="22"/>
          <w:highlight w:val="none"/>
          <w:lang w:val="en-US" w:eastAsia="en-US" w:bidi="ar-SA"/>
        </w:rPr>
      </w:pPr>
    </w:p>
    <w:p w14:paraId="0DCA1918">
      <w:pPr>
        <w:spacing w:line="291" w:lineRule="exact"/>
        <w:rPr>
          <w:rFonts w:hint="eastAsia" w:ascii="仿宋_GB2312" w:hAnsi="仿宋_GB2312" w:eastAsia="仿宋_GB2312" w:cs="仿宋_GB2312"/>
          <w:color w:val="auto"/>
          <w:sz w:val="28"/>
          <w:szCs w:val="22"/>
          <w:highlight w:val="none"/>
          <w:lang w:val="en-US" w:eastAsia="en-US" w:bidi="ar-SA"/>
        </w:rPr>
      </w:pPr>
    </w:p>
    <w:p w14:paraId="004C908D">
      <w:pPr>
        <w:spacing w:line="291" w:lineRule="exact"/>
        <w:rPr>
          <w:rFonts w:hint="eastAsia" w:ascii="仿宋_GB2312" w:hAnsi="仿宋_GB2312" w:eastAsia="仿宋_GB2312" w:cs="仿宋_GB2312"/>
          <w:color w:val="auto"/>
          <w:sz w:val="28"/>
          <w:szCs w:val="22"/>
          <w:highlight w:val="none"/>
          <w:lang w:val="en-US" w:eastAsia="en-US" w:bidi="ar-SA"/>
        </w:rPr>
      </w:pPr>
    </w:p>
    <w:p w14:paraId="27499C6C">
      <w:pPr>
        <w:spacing w:line="291" w:lineRule="exact"/>
        <w:rPr>
          <w:rFonts w:hint="eastAsia" w:ascii="仿宋_GB2312" w:hAnsi="仿宋_GB2312" w:eastAsia="仿宋_GB2312" w:cs="仿宋_GB2312"/>
          <w:color w:val="auto"/>
          <w:sz w:val="28"/>
          <w:szCs w:val="22"/>
          <w:highlight w:val="none"/>
          <w:lang w:val="en-US" w:eastAsia="en-US" w:bidi="ar-SA"/>
        </w:rPr>
      </w:pPr>
    </w:p>
    <w:p w14:paraId="47303B81">
      <w:pPr>
        <w:spacing w:line="291" w:lineRule="exact"/>
        <w:rPr>
          <w:rFonts w:hint="eastAsia" w:ascii="仿宋_GB2312" w:hAnsi="仿宋_GB2312" w:eastAsia="仿宋_GB2312" w:cs="仿宋_GB2312"/>
          <w:color w:val="auto"/>
          <w:sz w:val="28"/>
          <w:szCs w:val="22"/>
          <w:highlight w:val="none"/>
          <w:lang w:val="en-US" w:eastAsia="en-US" w:bidi="ar-SA"/>
        </w:rPr>
      </w:pPr>
    </w:p>
    <w:p w14:paraId="7831805A">
      <w:pPr>
        <w:spacing w:line="291" w:lineRule="exact"/>
        <w:rPr>
          <w:rFonts w:hint="eastAsia" w:ascii="仿宋_GB2312" w:hAnsi="仿宋_GB2312" w:eastAsia="仿宋_GB2312" w:cs="仿宋_GB2312"/>
          <w:color w:val="auto"/>
          <w:sz w:val="28"/>
          <w:szCs w:val="22"/>
          <w:highlight w:val="none"/>
          <w:lang w:val="en-US" w:eastAsia="en-US" w:bidi="ar-SA"/>
        </w:rPr>
      </w:pPr>
    </w:p>
    <w:p w14:paraId="54272E9E">
      <w:pPr>
        <w:spacing w:line="291" w:lineRule="exact"/>
        <w:rPr>
          <w:rFonts w:hint="eastAsia" w:ascii="仿宋_GB2312" w:hAnsi="仿宋_GB2312" w:eastAsia="仿宋_GB2312" w:cs="仿宋_GB2312"/>
          <w:color w:val="auto"/>
          <w:sz w:val="28"/>
          <w:szCs w:val="22"/>
          <w:highlight w:val="none"/>
          <w:lang w:val="en-US" w:eastAsia="en-US" w:bidi="ar-SA"/>
        </w:rPr>
      </w:pPr>
    </w:p>
    <w:p w14:paraId="0D25227C">
      <w:pPr>
        <w:spacing w:line="291" w:lineRule="exact"/>
        <w:rPr>
          <w:rFonts w:hint="eastAsia" w:ascii="仿宋_GB2312" w:hAnsi="仿宋_GB2312" w:eastAsia="仿宋_GB2312" w:cs="仿宋_GB2312"/>
          <w:color w:val="auto"/>
          <w:sz w:val="28"/>
          <w:szCs w:val="22"/>
          <w:highlight w:val="none"/>
          <w:lang w:val="en-US" w:eastAsia="en-US" w:bidi="ar-SA"/>
        </w:rPr>
      </w:pPr>
    </w:p>
    <w:p w14:paraId="2BEAF7C4">
      <w:pPr>
        <w:spacing w:line="291" w:lineRule="exact"/>
        <w:rPr>
          <w:rFonts w:hint="eastAsia" w:ascii="仿宋_GB2312" w:hAnsi="仿宋_GB2312" w:eastAsia="仿宋_GB2312" w:cs="仿宋_GB2312"/>
          <w:color w:val="auto"/>
          <w:sz w:val="28"/>
          <w:szCs w:val="22"/>
          <w:highlight w:val="none"/>
          <w:lang w:val="en-US" w:eastAsia="en-US" w:bidi="ar-SA"/>
        </w:rPr>
      </w:pPr>
    </w:p>
    <w:p w14:paraId="31C85A12">
      <w:pPr>
        <w:spacing w:line="291" w:lineRule="exact"/>
        <w:rPr>
          <w:rFonts w:hint="eastAsia" w:ascii="仿宋_GB2312" w:hAnsi="仿宋_GB2312" w:eastAsia="仿宋_GB2312" w:cs="仿宋_GB2312"/>
          <w:color w:val="auto"/>
          <w:sz w:val="28"/>
          <w:szCs w:val="22"/>
          <w:highlight w:val="none"/>
          <w:lang w:val="en-US" w:eastAsia="en-US" w:bidi="ar-SA"/>
        </w:rPr>
      </w:pPr>
    </w:p>
    <w:p w14:paraId="1BB9B881">
      <w:pPr>
        <w:spacing w:line="291" w:lineRule="exact"/>
        <w:rPr>
          <w:rFonts w:hint="eastAsia" w:ascii="仿宋_GB2312" w:hAnsi="仿宋_GB2312" w:eastAsia="仿宋_GB2312" w:cs="仿宋_GB2312"/>
          <w:color w:val="auto"/>
          <w:sz w:val="28"/>
          <w:szCs w:val="22"/>
          <w:highlight w:val="none"/>
          <w:lang w:val="en-US" w:eastAsia="en-US" w:bidi="ar-SA"/>
        </w:rPr>
      </w:pPr>
    </w:p>
    <w:p w14:paraId="2B024263">
      <w:pPr>
        <w:spacing w:line="291" w:lineRule="exact"/>
        <w:rPr>
          <w:rFonts w:hint="eastAsia" w:ascii="仿宋_GB2312" w:hAnsi="仿宋_GB2312" w:eastAsia="仿宋_GB2312" w:cs="仿宋_GB2312"/>
          <w:color w:val="auto"/>
          <w:sz w:val="28"/>
          <w:szCs w:val="22"/>
          <w:highlight w:val="none"/>
          <w:lang w:val="en-US" w:eastAsia="en-US" w:bidi="ar-SA"/>
        </w:rPr>
      </w:pPr>
    </w:p>
    <w:p w14:paraId="7FD49C6A">
      <w:pPr>
        <w:spacing w:line="291" w:lineRule="exact"/>
        <w:rPr>
          <w:rFonts w:hint="eastAsia" w:ascii="仿宋_GB2312" w:hAnsi="仿宋_GB2312" w:eastAsia="仿宋_GB2312" w:cs="仿宋_GB2312"/>
          <w:color w:val="auto"/>
          <w:sz w:val="28"/>
          <w:szCs w:val="22"/>
          <w:highlight w:val="none"/>
          <w:lang w:val="en-US" w:eastAsia="en-US" w:bidi="ar-SA"/>
        </w:rPr>
      </w:pPr>
    </w:p>
    <w:p w14:paraId="284F24E6">
      <w:pPr>
        <w:spacing w:line="291" w:lineRule="exact"/>
        <w:rPr>
          <w:rFonts w:hint="eastAsia" w:ascii="仿宋_GB2312" w:hAnsi="仿宋_GB2312" w:eastAsia="仿宋_GB2312" w:cs="仿宋_GB2312"/>
          <w:color w:val="auto"/>
          <w:sz w:val="28"/>
          <w:szCs w:val="22"/>
          <w:highlight w:val="none"/>
          <w:lang w:val="en-US" w:eastAsia="en-US" w:bidi="ar-SA"/>
        </w:rPr>
      </w:pPr>
    </w:p>
    <w:p w14:paraId="4B7682A6">
      <w:pPr>
        <w:spacing w:line="291" w:lineRule="exact"/>
        <w:rPr>
          <w:rFonts w:hint="eastAsia" w:ascii="仿宋_GB2312" w:hAnsi="仿宋_GB2312" w:eastAsia="仿宋_GB2312" w:cs="仿宋_GB2312"/>
          <w:color w:val="auto"/>
          <w:sz w:val="28"/>
          <w:szCs w:val="22"/>
          <w:highlight w:val="none"/>
          <w:lang w:val="en-US" w:eastAsia="en-US" w:bidi="ar-SA"/>
        </w:rPr>
      </w:pPr>
    </w:p>
    <w:p w14:paraId="120A9216">
      <w:pPr>
        <w:spacing w:line="291" w:lineRule="exact"/>
        <w:rPr>
          <w:rFonts w:hint="eastAsia" w:ascii="仿宋_GB2312" w:hAnsi="仿宋_GB2312" w:eastAsia="仿宋_GB2312" w:cs="仿宋_GB2312"/>
          <w:color w:val="auto"/>
          <w:sz w:val="28"/>
          <w:szCs w:val="22"/>
          <w:highlight w:val="none"/>
          <w:lang w:val="en-US" w:eastAsia="en-US" w:bidi="ar-SA"/>
        </w:rPr>
      </w:pPr>
    </w:p>
    <w:p w14:paraId="549A8309">
      <w:pPr>
        <w:spacing w:line="291" w:lineRule="exact"/>
        <w:rPr>
          <w:rFonts w:hint="eastAsia" w:ascii="仿宋_GB2312" w:hAnsi="仿宋_GB2312" w:eastAsia="仿宋_GB2312" w:cs="仿宋_GB2312"/>
          <w:color w:val="auto"/>
          <w:sz w:val="28"/>
          <w:szCs w:val="22"/>
          <w:highlight w:val="none"/>
          <w:lang w:val="en-US" w:eastAsia="en-US" w:bidi="ar-SA"/>
        </w:rPr>
      </w:pPr>
    </w:p>
    <w:p w14:paraId="41513899">
      <w:pPr>
        <w:spacing w:line="291" w:lineRule="exact"/>
        <w:rPr>
          <w:rFonts w:hint="eastAsia" w:ascii="仿宋_GB2312" w:hAnsi="仿宋_GB2312" w:eastAsia="仿宋_GB2312" w:cs="仿宋_GB2312"/>
          <w:color w:val="auto"/>
          <w:sz w:val="28"/>
          <w:szCs w:val="22"/>
          <w:highlight w:val="none"/>
          <w:lang w:val="en-US" w:eastAsia="en-US" w:bidi="ar-SA"/>
        </w:rPr>
      </w:pPr>
    </w:p>
    <w:p w14:paraId="11E96459">
      <w:pPr>
        <w:spacing w:line="291" w:lineRule="exact"/>
        <w:rPr>
          <w:rFonts w:hint="eastAsia" w:ascii="仿宋_GB2312" w:hAnsi="仿宋_GB2312" w:eastAsia="仿宋_GB2312" w:cs="仿宋_GB2312"/>
          <w:color w:val="auto"/>
          <w:sz w:val="28"/>
          <w:szCs w:val="22"/>
          <w:highlight w:val="none"/>
          <w:lang w:val="en-US" w:eastAsia="en-US" w:bidi="ar-SA"/>
        </w:rPr>
      </w:pPr>
    </w:p>
    <w:p w14:paraId="57A49E78">
      <w:pPr>
        <w:spacing w:line="291" w:lineRule="exact"/>
        <w:rPr>
          <w:rFonts w:hint="eastAsia" w:ascii="仿宋_GB2312" w:hAnsi="仿宋_GB2312" w:eastAsia="仿宋_GB2312" w:cs="仿宋_GB2312"/>
          <w:color w:val="auto"/>
          <w:sz w:val="28"/>
          <w:szCs w:val="22"/>
          <w:highlight w:val="none"/>
          <w:lang w:val="en-US" w:eastAsia="en-US" w:bidi="ar-SA"/>
        </w:rPr>
      </w:pPr>
    </w:p>
    <w:p w14:paraId="4EBE411B">
      <w:pPr>
        <w:spacing w:line="360" w:lineRule="auto"/>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auto"/>
          <w:spacing w:val="1"/>
          <w:sz w:val="28"/>
          <w:szCs w:val="28"/>
          <w:highlight w:val="none"/>
          <w:lang w:val="en-US" w:eastAsia="zh-CN" w:bidi="ar-SA"/>
        </w:rPr>
      </w:pPr>
      <w:r>
        <w:rPr>
          <w:rFonts w:hint="eastAsia" w:ascii="仿宋_GB2312" w:hAnsi="仿宋_GB2312" w:eastAsia="仿宋_GB2312" w:cs="仿宋_GB2312"/>
          <w:color w:val="auto"/>
          <w:spacing w:val="1"/>
          <w:sz w:val="28"/>
          <w:szCs w:val="28"/>
          <w:highlight w:val="none"/>
          <w:lang w:val="en-US" w:eastAsia="zh-CN" w:bidi="ar-SA"/>
        </w:rPr>
        <w:t>十六、</w:t>
      </w:r>
      <w:r>
        <w:rPr>
          <w:rFonts w:hint="eastAsia" w:ascii="仿宋_GB2312" w:hAnsi="仿宋_GB2312" w:eastAsia="仿宋_GB2312" w:cs="仿宋_GB2312"/>
          <w:color w:val="auto"/>
          <w:spacing w:val="1"/>
          <w:sz w:val="28"/>
          <w:szCs w:val="28"/>
          <w:highlight w:val="none"/>
          <w:lang w:val="en-US" w:eastAsia="en-US" w:bidi="ar-SA"/>
        </w:rPr>
        <w:t>方案</w:t>
      </w:r>
      <w:r>
        <w:rPr>
          <w:rFonts w:hint="eastAsia" w:ascii="仿宋_GB2312" w:hAnsi="仿宋_GB2312" w:eastAsia="仿宋_GB2312" w:cs="仿宋_GB2312"/>
          <w:color w:val="auto"/>
          <w:spacing w:val="1"/>
          <w:sz w:val="28"/>
          <w:szCs w:val="28"/>
          <w:highlight w:val="none"/>
          <w:lang w:val="en-US" w:eastAsia="zh-CN" w:bidi="ar-SA"/>
        </w:rPr>
        <w:t>（格式自拟）</w:t>
      </w:r>
    </w:p>
    <w:p w14:paraId="655DAA88">
      <w:pPr>
        <w:pStyle w:val="5"/>
        <w:numPr>
          <w:ilvl w:val="0"/>
          <w:numId w:val="0"/>
        </w:numPr>
        <w:rPr>
          <w:rFonts w:hint="eastAsia" w:ascii="仿宋_GB2312" w:hAnsi="仿宋_GB2312" w:eastAsia="仿宋_GB2312" w:cs="仿宋_GB2312"/>
          <w:color w:val="auto"/>
          <w:highlight w:val="none"/>
          <w:lang w:val="en-US" w:eastAsia="en-US"/>
        </w:rPr>
      </w:pPr>
    </w:p>
    <w:p w14:paraId="3E21CE1E">
      <w:pPr>
        <w:spacing w:line="291" w:lineRule="exact"/>
        <w:rPr>
          <w:rFonts w:hint="eastAsia" w:ascii="仿宋_GB2312" w:hAnsi="仿宋_GB2312" w:eastAsia="仿宋_GB2312" w:cs="仿宋_GB2312"/>
          <w:color w:val="auto"/>
          <w:sz w:val="28"/>
          <w:szCs w:val="22"/>
          <w:highlight w:val="none"/>
          <w:lang w:val="en-US" w:eastAsia="en-US" w:bidi="ar-SA"/>
        </w:rPr>
      </w:pPr>
    </w:p>
    <w:p w14:paraId="32AFC907">
      <w:pPr>
        <w:pStyle w:val="5"/>
        <w:rPr>
          <w:rFonts w:hint="eastAsia" w:ascii="仿宋_GB2312" w:hAnsi="仿宋_GB2312" w:eastAsia="仿宋_GB2312" w:cs="仿宋_GB2312"/>
          <w:color w:val="auto"/>
          <w:sz w:val="28"/>
          <w:szCs w:val="22"/>
          <w:highlight w:val="none"/>
          <w:lang w:val="en-US" w:eastAsia="en-US" w:bidi="ar-SA"/>
        </w:rPr>
      </w:pPr>
    </w:p>
    <w:p w14:paraId="1D1BAADF">
      <w:pPr>
        <w:rPr>
          <w:rFonts w:hint="eastAsia" w:ascii="仿宋_GB2312" w:hAnsi="仿宋_GB2312" w:eastAsia="仿宋_GB2312" w:cs="仿宋_GB2312"/>
          <w:color w:val="auto"/>
          <w:sz w:val="28"/>
          <w:szCs w:val="22"/>
          <w:highlight w:val="none"/>
          <w:lang w:val="en-US" w:eastAsia="en-US" w:bidi="ar-SA"/>
        </w:rPr>
      </w:pPr>
    </w:p>
    <w:p w14:paraId="67F8FCCC">
      <w:pPr>
        <w:pStyle w:val="5"/>
        <w:rPr>
          <w:rFonts w:hint="eastAsia" w:ascii="仿宋_GB2312" w:hAnsi="仿宋_GB2312" w:eastAsia="仿宋_GB2312" w:cs="仿宋_GB2312"/>
          <w:color w:val="auto"/>
          <w:highlight w:val="none"/>
          <w:lang w:val="en-US" w:eastAsia="en-US"/>
        </w:rPr>
      </w:pPr>
    </w:p>
    <w:p w14:paraId="7E9737F8">
      <w:pPr>
        <w:spacing w:line="291" w:lineRule="exact"/>
        <w:rPr>
          <w:rFonts w:hint="eastAsia" w:ascii="仿宋_GB2312" w:hAnsi="仿宋_GB2312" w:eastAsia="仿宋_GB2312" w:cs="仿宋_GB2312"/>
          <w:color w:val="auto"/>
          <w:sz w:val="28"/>
          <w:szCs w:val="22"/>
          <w:highlight w:val="none"/>
          <w:lang w:val="en-US" w:eastAsia="en-US" w:bidi="ar-SA"/>
        </w:rPr>
      </w:pPr>
    </w:p>
    <w:p w14:paraId="6B83BD20">
      <w:pPr>
        <w:spacing w:line="291" w:lineRule="exact"/>
        <w:rPr>
          <w:rFonts w:hint="eastAsia" w:ascii="仿宋_GB2312" w:hAnsi="仿宋_GB2312" w:eastAsia="仿宋_GB2312" w:cs="仿宋_GB2312"/>
          <w:color w:val="auto"/>
          <w:sz w:val="28"/>
          <w:szCs w:val="22"/>
          <w:highlight w:val="none"/>
          <w:lang w:val="en-US" w:eastAsia="en-US" w:bidi="ar-SA"/>
        </w:rPr>
      </w:pPr>
    </w:p>
    <w:p w14:paraId="46650F7C">
      <w:pPr>
        <w:spacing w:line="291" w:lineRule="exact"/>
        <w:rPr>
          <w:rFonts w:hint="eastAsia" w:ascii="仿宋_GB2312" w:hAnsi="仿宋_GB2312" w:eastAsia="仿宋_GB2312" w:cs="仿宋_GB2312"/>
          <w:color w:val="auto"/>
          <w:sz w:val="28"/>
          <w:szCs w:val="22"/>
          <w:highlight w:val="none"/>
          <w:lang w:val="en-US" w:eastAsia="en-US" w:bidi="ar-SA"/>
        </w:rPr>
      </w:pPr>
    </w:p>
    <w:p w14:paraId="5A0353BC">
      <w:pPr>
        <w:spacing w:line="291" w:lineRule="exact"/>
        <w:rPr>
          <w:rFonts w:hint="eastAsia" w:ascii="仿宋_GB2312" w:hAnsi="仿宋_GB2312" w:eastAsia="仿宋_GB2312" w:cs="仿宋_GB2312"/>
          <w:color w:val="auto"/>
          <w:sz w:val="28"/>
          <w:szCs w:val="22"/>
          <w:highlight w:val="none"/>
          <w:lang w:val="en-US" w:eastAsia="en-US" w:bidi="ar-SA"/>
        </w:rPr>
      </w:pPr>
    </w:p>
    <w:p w14:paraId="303DAD2C">
      <w:pPr>
        <w:spacing w:line="291" w:lineRule="exact"/>
        <w:rPr>
          <w:rFonts w:hint="eastAsia" w:ascii="仿宋_GB2312" w:hAnsi="仿宋_GB2312" w:eastAsia="仿宋_GB2312" w:cs="仿宋_GB2312"/>
          <w:color w:val="auto"/>
          <w:sz w:val="28"/>
          <w:szCs w:val="22"/>
          <w:highlight w:val="none"/>
          <w:lang w:val="en-US" w:eastAsia="en-US" w:bidi="ar-SA"/>
        </w:rPr>
      </w:pPr>
    </w:p>
    <w:p w14:paraId="272196DF">
      <w:pPr>
        <w:spacing w:line="291" w:lineRule="exact"/>
        <w:rPr>
          <w:rFonts w:hint="eastAsia" w:ascii="仿宋_GB2312" w:hAnsi="仿宋_GB2312" w:eastAsia="仿宋_GB2312" w:cs="仿宋_GB2312"/>
          <w:color w:val="auto"/>
          <w:sz w:val="28"/>
          <w:szCs w:val="22"/>
          <w:highlight w:val="none"/>
          <w:lang w:val="en-US" w:eastAsia="en-US" w:bidi="ar-SA"/>
        </w:rPr>
      </w:pPr>
    </w:p>
    <w:p w14:paraId="7DA0992F">
      <w:pPr>
        <w:spacing w:line="291" w:lineRule="exact"/>
        <w:rPr>
          <w:rFonts w:hint="eastAsia" w:ascii="仿宋_GB2312" w:hAnsi="仿宋_GB2312" w:eastAsia="仿宋_GB2312" w:cs="仿宋_GB2312"/>
          <w:color w:val="auto"/>
          <w:sz w:val="28"/>
          <w:szCs w:val="22"/>
          <w:highlight w:val="none"/>
          <w:lang w:val="en-US" w:eastAsia="en-US" w:bidi="ar-SA"/>
        </w:rPr>
      </w:pPr>
    </w:p>
    <w:p w14:paraId="4CA522BD">
      <w:pPr>
        <w:spacing w:line="291" w:lineRule="exact"/>
        <w:rPr>
          <w:rFonts w:hint="eastAsia" w:ascii="仿宋_GB2312" w:hAnsi="仿宋_GB2312" w:eastAsia="仿宋_GB2312" w:cs="仿宋_GB2312"/>
          <w:color w:val="auto"/>
          <w:sz w:val="28"/>
          <w:szCs w:val="22"/>
          <w:highlight w:val="none"/>
          <w:lang w:val="en-US" w:eastAsia="en-US" w:bidi="ar-SA"/>
        </w:rPr>
      </w:pPr>
    </w:p>
    <w:p w14:paraId="0E7EE551">
      <w:pPr>
        <w:spacing w:line="291" w:lineRule="exact"/>
        <w:rPr>
          <w:rFonts w:hint="eastAsia" w:ascii="仿宋_GB2312" w:hAnsi="仿宋_GB2312" w:eastAsia="仿宋_GB2312" w:cs="仿宋_GB2312"/>
          <w:color w:val="auto"/>
          <w:sz w:val="28"/>
          <w:szCs w:val="22"/>
          <w:highlight w:val="none"/>
          <w:lang w:val="en-US" w:eastAsia="en-US" w:bidi="ar-SA"/>
        </w:rPr>
      </w:pPr>
    </w:p>
    <w:p w14:paraId="7B59B3D7">
      <w:pPr>
        <w:spacing w:line="291" w:lineRule="exact"/>
        <w:rPr>
          <w:rFonts w:hint="eastAsia" w:ascii="仿宋_GB2312" w:hAnsi="仿宋_GB2312" w:eastAsia="仿宋_GB2312" w:cs="仿宋_GB2312"/>
          <w:color w:val="auto"/>
          <w:sz w:val="28"/>
          <w:szCs w:val="22"/>
          <w:highlight w:val="none"/>
          <w:lang w:val="en-US" w:eastAsia="en-US" w:bidi="ar-SA"/>
        </w:rPr>
      </w:pPr>
    </w:p>
    <w:p w14:paraId="0C2280BB">
      <w:pPr>
        <w:spacing w:line="291" w:lineRule="exact"/>
        <w:rPr>
          <w:rFonts w:hint="eastAsia" w:ascii="仿宋_GB2312" w:hAnsi="仿宋_GB2312" w:eastAsia="仿宋_GB2312" w:cs="仿宋_GB2312"/>
          <w:color w:val="auto"/>
          <w:sz w:val="28"/>
          <w:szCs w:val="22"/>
          <w:highlight w:val="none"/>
          <w:lang w:val="en-US" w:eastAsia="en-US" w:bidi="ar-SA"/>
        </w:rPr>
      </w:pPr>
    </w:p>
    <w:p w14:paraId="1A643E72">
      <w:pPr>
        <w:spacing w:line="291" w:lineRule="exact"/>
        <w:rPr>
          <w:rFonts w:hint="eastAsia" w:ascii="仿宋_GB2312" w:hAnsi="仿宋_GB2312" w:eastAsia="仿宋_GB2312" w:cs="仿宋_GB2312"/>
          <w:color w:val="auto"/>
          <w:sz w:val="28"/>
          <w:szCs w:val="22"/>
          <w:highlight w:val="none"/>
          <w:lang w:val="en-US" w:eastAsia="en-US" w:bidi="ar-SA"/>
        </w:rPr>
      </w:pPr>
    </w:p>
    <w:p w14:paraId="00F72923">
      <w:pPr>
        <w:spacing w:line="291" w:lineRule="exact"/>
        <w:rPr>
          <w:rFonts w:hint="eastAsia" w:ascii="仿宋_GB2312" w:hAnsi="仿宋_GB2312" w:eastAsia="仿宋_GB2312" w:cs="仿宋_GB2312"/>
          <w:color w:val="auto"/>
          <w:sz w:val="28"/>
          <w:szCs w:val="22"/>
          <w:highlight w:val="none"/>
          <w:lang w:val="en-US" w:eastAsia="en-US" w:bidi="ar-SA"/>
        </w:rPr>
      </w:pPr>
    </w:p>
    <w:p w14:paraId="28B1E50D">
      <w:pPr>
        <w:spacing w:line="291" w:lineRule="exact"/>
        <w:rPr>
          <w:rFonts w:hint="eastAsia" w:ascii="仿宋_GB2312" w:hAnsi="仿宋_GB2312" w:eastAsia="仿宋_GB2312" w:cs="仿宋_GB2312"/>
          <w:color w:val="auto"/>
          <w:sz w:val="28"/>
          <w:szCs w:val="22"/>
          <w:highlight w:val="none"/>
          <w:lang w:val="en-US" w:eastAsia="en-US" w:bidi="ar-SA"/>
        </w:rPr>
      </w:pPr>
    </w:p>
    <w:p w14:paraId="38DA1FFB">
      <w:pPr>
        <w:spacing w:line="291" w:lineRule="exact"/>
        <w:rPr>
          <w:rFonts w:hint="eastAsia" w:ascii="仿宋_GB2312" w:hAnsi="仿宋_GB2312" w:eastAsia="仿宋_GB2312" w:cs="仿宋_GB2312"/>
          <w:color w:val="auto"/>
          <w:sz w:val="28"/>
          <w:szCs w:val="22"/>
          <w:highlight w:val="none"/>
          <w:lang w:val="en-US" w:eastAsia="en-US" w:bidi="ar-SA"/>
        </w:rPr>
      </w:pPr>
    </w:p>
    <w:p w14:paraId="29545F16">
      <w:pPr>
        <w:spacing w:line="291" w:lineRule="exact"/>
        <w:rPr>
          <w:rFonts w:hint="eastAsia" w:ascii="仿宋_GB2312" w:hAnsi="仿宋_GB2312" w:eastAsia="仿宋_GB2312" w:cs="仿宋_GB2312"/>
          <w:color w:val="auto"/>
          <w:sz w:val="28"/>
          <w:szCs w:val="22"/>
          <w:highlight w:val="none"/>
          <w:lang w:val="en-US" w:eastAsia="en-US" w:bidi="ar-SA"/>
        </w:rPr>
      </w:pPr>
    </w:p>
    <w:p w14:paraId="392992FF">
      <w:pPr>
        <w:spacing w:line="291" w:lineRule="exact"/>
        <w:rPr>
          <w:rFonts w:hint="eastAsia" w:ascii="仿宋_GB2312" w:hAnsi="仿宋_GB2312" w:eastAsia="仿宋_GB2312" w:cs="仿宋_GB2312"/>
          <w:color w:val="auto"/>
          <w:sz w:val="28"/>
          <w:szCs w:val="22"/>
          <w:highlight w:val="none"/>
          <w:lang w:val="en-US" w:eastAsia="en-US" w:bidi="ar-SA"/>
        </w:rPr>
      </w:pPr>
    </w:p>
    <w:p w14:paraId="0ED2C122">
      <w:pPr>
        <w:spacing w:line="291" w:lineRule="exact"/>
        <w:rPr>
          <w:rFonts w:hint="eastAsia" w:ascii="仿宋_GB2312" w:hAnsi="仿宋_GB2312" w:eastAsia="仿宋_GB2312" w:cs="仿宋_GB2312"/>
          <w:color w:val="auto"/>
          <w:sz w:val="28"/>
          <w:szCs w:val="22"/>
          <w:highlight w:val="none"/>
          <w:lang w:val="en-US" w:eastAsia="en-US" w:bidi="ar-SA"/>
        </w:rPr>
      </w:pPr>
    </w:p>
    <w:p w14:paraId="444B6C8F">
      <w:pPr>
        <w:spacing w:line="291" w:lineRule="exact"/>
        <w:rPr>
          <w:rFonts w:hint="eastAsia" w:ascii="仿宋_GB2312" w:hAnsi="仿宋_GB2312" w:eastAsia="仿宋_GB2312" w:cs="仿宋_GB2312"/>
          <w:color w:val="auto"/>
          <w:sz w:val="28"/>
          <w:szCs w:val="22"/>
          <w:highlight w:val="none"/>
          <w:lang w:val="en-US" w:eastAsia="en-US" w:bidi="ar-SA"/>
        </w:rPr>
      </w:pPr>
    </w:p>
    <w:p w14:paraId="4E64649F">
      <w:pPr>
        <w:spacing w:line="291" w:lineRule="exact"/>
        <w:rPr>
          <w:rFonts w:hint="eastAsia" w:ascii="仿宋_GB2312" w:hAnsi="仿宋_GB2312" w:eastAsia="仿宋_GB2312" w:cs="仿宋_GB2312"/>
          <w:color w:val="auto"/>
          <w:sz w:val="28"/>
          <w:szCs w:val="22"/>
          <w:highlight w:val="none"/>
          <w:lang w:val="en-US" w:eastAsia="en-US" w:bidi="ar-SA"/>
        </w:rPr>
      </w:pPr>
    </w:p>
    <w:p w14:paraId="14777CE0">
      <w:pPr>
        <w:spacing w:line="291" w:lineRule="exact"/>
        <w:rPr>
          <w:rFonts w:hint="eastAsia" w:ascii="仿宋_GB2312" w:hAnsi="仿宋_GB2312" w:eastAsia="仿宋_GB2312" w:cs="仿宋_GB2312"/>
          <w:color w:val="auto"/>
          <w:sz w:val="28"/>
          <w:szCs w:val="22"/>
          <w:highlight w:val="none"/>
          <w:lang w:val="en-US" w:eastAsia="en-US" w:bidi="ar-SA"/>
        </w:rPr>
      </w:pPr>
    </w:p>
    <w:p w14:paraId="7B1A6F7E">
      <w:pPr>
        <w:spacing w:line="291" w:lineRule="exact"/>
        <w:rPr>
          <w:rFonts w:hint="eastAsia" w:ascii="仿宋_GB2312" w:hAnsi="仿宋_GB2312" w:eastAsia="仿宋_GB2312" w:cs="仿宋_GB2312"/>
          <w:color w:val="auto"/>
          <w:sz w:val="28"/>
          <w:szCs w:val="22"/>
          <w:highlight w:val="none"/>
          <w:lang w:val="en-US" w:eastAsia="en-US" w:bidi="ar-SA"/>
        </w:rPr>
      </w:pPr>
    </w:p>
    <w:p w14:paraId="1CC4DCB6">
      <w:pPr>
        <w:spacing w:line="291" w:lineRule="exact"/>
        <w:rPr>
          <w:rFonts w:hint="eastAsia" w:ascii="仿宋_GB2312" w:hAnsi="仿宋_GB2312" w:eastAsia="仿宋_GB2312" w:cs="仿宋_GB2312"/>
          <w:color w:val="auto"/>
          <w:sz w:val="28"/>
          <w:szCs w:val="22"/>
          <w:highlight w:val="none"/>
          <w:lang w:val="en-US" w:eastAsia="en-US" w:bidi="ar-SA"/>
        </w:rPr>
      </w:pPr>
    </w:p>
    <w:p w14:paraId="603BA17A">
      <w:pPr>
        <w:spacing w:line="291" w:lineRule="exact"/>
        <w:rPr>
          <w:rFonts w:hint="eastAsia" w:ascii="仿宋_GB2312" w:hAnsi="仿宋_GB2312" w:eastAsia="仿宋_GB2312" w:cs="仿宋_GB2312"/>
          <w:color w:val="auto"/>
          <w:sz w:val="28"/>
          <w:szCs w:val="22"/>
          <w:highlight w:val="none"/>
          <w:lang w:val="en-US" w:eastAsia="en-US" w:bidi="ar-SA"/>
        </w:rPr>
      </w:pPr>
    </w:p>
    <w:p w14:paraId="2A4E1F89">
      <w:pPr>
        <w:spacing w:line="291" w:lineRule="exact"/>
        <w:rPr>
          <w:rFonts w:hint="eastAsia" w:ascii="仿宋_GB2312" w:hAnsi="仿宋_GB2312" w:eastAsia="仿宋_GB2312" w:cs="仿宋_GB2312"/>
          <w:color w:val="auto"/>
          <w:sz w:val="28"/>
          <w:szCs w:val="22"/>
          <w:highlight w:val="none"/>
          <w:lang w:val="en-US" w:eastAsia="en-US" w:bidi="ar-SA"/>
        </w:rPr>
      </w:pPr>
    </w:p>
    <w:p w14:paraId="46D7AFF5">
      <w:pPr>
        <w:spacing w:line="291" w:lineRule="exact"/>
        <w:rPr>
          <w:rFonts w:hint="eastAsia" w:ascii="仿宋_GB2312" w:hAnsi="仿宋_GB2312" w:eastAsia="仿宋_GB2312" w:cs="仿宋_GB2312"/>
          <w:color w:val="auto"/>
          <w:sz w:val="28"/>
          <w:szCs w:val="22"/>
          <w:highlight w:val="none"/>
          <w:lang w:val="en-US" w:eastAsia="en-US" w:bidi="ar-SA"/>
        </w:rPr>
      </w:pPr>
    </w:p>
    <w:p w14:paraId="0B6492F8">
      <w:pPr>
        <w:spacing w:line="291" w:lineRule="exact"/>
        <w:rPr>
          <w:rFonts w:hint="eastAsia" w:ascii="仿宋_GB2312" w:hAnsi="仿宋_GB2312" w:eastAsia="仿宋_GB2312" w:cs="仿宋_GB2312"/>
          <w:color w:val="auto"/>
          <w:sz w:val="28"/>
          <w:szCs w:val="22"/>
          <w:highlight w:val="none"/>
          <w:lang w:val="en-US" w:eastAsia="en-US" w:bidi="ar-SA"/>
        </w:rPr>
      </w:pPr>
    </w:p>
    <w:p w14:paraId="4228A78C">
      <w:pPr>
        <w:spacing w:line="291" w:lineRule="exact"/>
        <w:rPr>
          <w:rFonts w:hint="eastAsia" w:ascii="仿宋_GB2312" w:hAnsi="仿宋_GB2312" w:eastAsia="仿宋_GB2312" w:cs="仿宋_GB2312"/>
          <w:color w:val="auto"/>
          <w:sz w:val="28"/>
          <w:szCs w:val="22"/>
          <w:highlight w:val="none"/>
          <w:lang w:val="en-US" w:eastAsia="en-US" w:bidi="ar-SA"/>
        </w:rPr>
      </w:pPr>
    </w:p>
    <w:bookmarkEnd w:id="111"/>
    <w:bookmarkEnd w:id="112"/>
    <w:bookmarkEnd w:id="113"/>
    <w:bookmarkEnd w:id="114"/>
    <w:p w14:paraId="7649DC1F">
      <w:pPr>
        <w:spacing w:line="360" w:lineRule="auto"/>
        <w:rPr>
          <w:rFonts w:hint="eastAsia" w:ascii="仿宋_GB2312" w:hAnsi="仿宋_GB2312" w:eastAsia="仿宋_GB2312" w:cs="仿宋_GB2312"/>
          <w:b/>
          <w:bCs/>
          <w:color w:val="auto"/>
          <w:sz w:val="40"/>
          <w:szCs w:val="40"/>
          <w:highlight w:val="none"/>
          <w:lang w:eastAsia="zh-CN"/>
        </w:rPr>
      </w:pPr>
      <w:bookmarkStart w:id="146" w:name="_Toc12412_WPSOffice_Level2"/>
      <w:r>
        <w:rPr>
          <w:rFonts w:hint="eastAsia" w:ascii="仿宋_GB2312" w:hAnsi="仿宋_GB2312" w:eastAsia="仿宋_GB2312" w:cs="仿宋_GB2312"/>
          <w:color w:val="auto"/>
          <w:highlight w:val="none"/>
          <w:lang w:eastAsia="zh-CN"/>
        </w:rPr>
        <w:t>统一封口标签式样（外层）</w:t>
      </w:r>
      <w:bookmarkEnd w:id="146"/>
    </w:p>
    <w:p w14:paraId="41A9FE43">
      <w:pPr>
        <w:bidi w:val="0"/>
        <w:rPr>
          <w:rFonts w:hint="eastAsia" w:ascii="仿宋_GB2312" w:hAnsi="仿宋_GB2312" w:eastAsia="仿宋_GB2312" w:cs="仿宋_GB2312"/>
          <w:color w:val="auto"/>
          <w:highlight w:val="none"/>
          <w:lang w:eastAsia="zh-CN"/>
        </w:rPr>
      </w:pPr>
    </w:p>
    <w:p w14:paraId="5B13E644">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内蒙古自治区巴彦淖尔市医院网络安全</w:t>
      </w:r>
    </w:p>
    <w:p w14:paraId="448FFBD9">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服务项目</w:t>
      </w:r>
    </w:p>
    <w:p w14:paraId="398D33BD">
      <w:pPr>
        <w:pStyle w:val="71"/>
        <w:jc w:val="center"/>
        <w:rPr>
          <w:rFonts w:hint="default" w:ascii="Times New Roman" w:hAnsi="Times New Roman" w:eastAsia="方正小标宋简体" w:cs="Times New Roman"/>
          <w:b w:val="0"/>
          <w:bCs w:val="0"/>
          <w:color w:val="auto"/>
          <w:sz w:val="44"/>
          <w:szCs w:val="44"/>
          <w:highlight w:val="none"/>
          <w:lang w:val="en-US" w:eastAsia="zh-CN"/>
        </w:rPr>
      </w:pPr>
    </w:p>
    <w:p w14:paraId="23D6D3FB">
      <w:pPr>
        <w:pStyle w:val="5"/>
        <w:rPr>
          <w:rFonts w:hint="eastAsia" w:ascii="仿宋_GB2312" w:hAnsi="仿宋_GB2312" w:eastAsia="仿宋_GB2312" w:cs="仿宋_GB2312"/>
          <w:color w:val="auto"/>
          <w:highlight w:val="none"/>
          <w:lang w:eastAsia="zh-CN"/>
        </w:rPr>
      </w:pPr>
    </w:p>
    <w:p w14:paraId="3598954D">
      <w:pPr>
        <w:rPr>
          <w:rFonts w:hint="eastAsia" w:ascii="仿宋_GB2312" w:hAnsi="仿宋_GB2312" w:eastAsia="仿宋_GB2312" w:cs="仿宋_GB2312"/>
          <w:color w:val="auto"/>
          <w:highlight w:val="none"/>
          <w:lang w:eastAsia="zh-CN"/>
        </w:rPr>
      </w:pPr>
    </w:p>
    <w:p w14:paraId="134C5FDD">
      <w:pPr>
        <w:pStyle w:val="5"/>
        <w:rPr>
          <w:rFonts w:hint="eastAsia" w:ascii="仿宋_GB2312" w:hAnsi="仿宋_GB2312" w:eastAsia="仿宋_GB2312" w:cs="仿宋_GB2312"/>
          <w:color w:val="auto"/>
          <w:highlight w:val="none"/>
          <w:lang w:eastAsia="zh-CN"/>
        </w:rPr>
      </w:pPr>
    </w:p>
    <w:p w14:paraId="2E3D6E65">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4887DD26">
      <w:pPr>
        <w:pStyle w:val="30"/>
        <w:ind w:left="0" w:firstLine="0" w:firstLineChars="0"/>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48"/>
          <w:szCs w:val="48"/>
          <w:highlight w:val="none"/>
          <w:lang w:eastAsia="zh-CN"/>
        </w:rPr>
        <w:t>（</w:t>
      </w:r>
      <w:r>
        <w:rPr>
          <w:rFonts w:hint="eastAsia" w:ascii="仿宋_GB2312" w:hAnsi="仿宋_GB2312" w:eastAsia="仿宋_GB2312" w:cs="仿宋_GB2312"/>
          <w:b/>
          <w:color w:val="auto"/>
          <w:sz w:val="48"/>
          <w:szCs w:val="48"/>
          <w:highlight w:val="none"/>
          <w:lang w:val="en-US" w:eastAsia="zh-CN"/>
        </w:rPr>
        <w:t>正、副本</w:t>
      </w:r>
      <w:r>
        <w:rPr>
          <w:rFonts w:hint="eastAsia" w:ascii="仿宋_GB2312" w:hAnsi="仿宋_GB2312" w:eastAsia="仿宋_GB2312" w:cs="仿宋_GB2312"/>
          <w:b/>
          <w:color w:val="auto"/>
          <w:sz w:val="48"/>
          <w:szCs w:val="48"/>
          <w:highlight w:val="none"/>
          <w:lang w:eastAsia="zh-CN"/>
        </w:rPr>
        <w:t>）</w:t>
      </w:r>
    </w:p>
    <w:p w14:paraId="38CB381E">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-0</w:t>
      </w:r>
      <w:r>
        <w:rPr>
          <w:rFonts w:hint="eastAsia" w:ascii="仿宋_GB2312" w:hAnsi="仿宋_GB2312" w:eastAsia="仿宋_GB2312" w:cs="仿宋_GB2312"/>
          <w:b/>
          <w:color w:val="auto"/>
          <w:sz w:val="28"/>
          <w:szCs w:val="84"/>
          <w:highlight w:val="none"/>
          <w:lang w:val="en-US" w:eastAsia="zh-CN"/>
        </w:rPr>
        <w:t>0XX</w:t>
      </w:r>
    </w:p>
    <w:p w14:paraId="0A1B5D9F">
      <w:pPr>
        <w:pStyle w:val="14"/>
        <w:ind w:firstLine="0" w:firstLineChars="0"/>
        <w:rPr>
          <w:rFonts w:hint="eastAsia" w:ascii="仿宋_GB2312" w:hAnsi="仿宋_GB2312" w:eastAsia="仿宋_GB2312" w:cs="仿宋_GB2312"/>
          <w:b w:val="0"/>
          <w:bCs/>
          <w:color w:val="auto"/>
          <w:highlight w:val="none"/>
          <w:u w:val="single"/>
          <w:lang w:eastAsia="zh-CN"/>
        </w:rPr>
      </w:pPr>
    </w:p>
    <w:p w14:paraId="70BEA0CD">
      <w:pPr>
        <w:pStyle w:val="14"/>
        <w:ind w:firstLine="0" w:firstLineChars="0"/>
        <w:rPr>
          <w:rFonts w:hint="eastAsia" w:ascii="仿宋_GB2312" w:hAnsi="仿宋_GB2312" w:eastAsia="仿宋_GB2312" w:cs="仿宋_GB2312"/>
          <w:b w:val="0"/>
          <w:bCs/>
          <w:color w:val="auto"/>
          <w:highlight w:val="none"/>
          <w:u w:val="single"/>
          <w:lang w:eastAsia="zh-CN"/>
        </w:rPr>
      </w:pPr>
    </w:p>
    <w:p w14:paraId="3B649A7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4179FDA8">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2F78EE7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开标地点：巴彦淖尔市医院招标采购办公室</w:t>
      </w:r>
    </w:p>
    <w:p w14:paraId="142401CD">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投标单位：</w:t>
      </w:r>
    </w:p>
    <w:p w14:paraId="4A9E1A5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年</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月</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日</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时</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分开标，此时间以前不得开封</w:t>
      </w:r>
    </w:p>
    <w:p w14:paraId="2DF38208">
      <w:pPr>
        <w:spacing w:line="360" w:lineRule="auto"/>
        <w:rPr>
          <w:rFonts w:hint="eastAsia" w:ascii="仿宋_GB2312" w:hAnsi="仿宋_GB2312" w:eastAsia="仿宋_GB2312" w:cs="仿宋_GB2312"/>
          <w:b/>
          <w:bCs/>
          <w:color w:val="auto"/>
          <w:sz w:val="40"/>
          <w:szCs w:val="40"/>
          <w:highlight w:val="none"/>
          <w:lang w:eastAsia="zh-CN"/>
        </w:rPr>
      </w:pPr>
      <w:bookmarkStart w:id="147" w:name="_Toc11887_WPSOffice_Level2"/>
      <w:bookmarkStart w:id="148" w:name="_Toc16331_WPSOffice_Level2"/>
      <w:r>
        <w:rPr>
          <w:rFonts w:hint="eastAsia" w:ascii="仿宋_GB2312" w:hAnsi="仿宋_GB2312" w:eastAsia="仿宋_GB2312" w:cs="仿宋_GB2312"/>
          <w:color w:val="auto"/>
          <w:highlight w:val="none"/>
          <w:lang w:eastAsia="zh-CN"/>
        </w:rPr>
        <w:t>统一封口标签式样（外层）</w:t>
      </w:r>
      <w:bookmarkEnd w:id="147"/>
      <w:bookmarkEnd w:id="148"/>
    </w:p>
    <w:p w14:paraId="1DFA78BF">
      <w:pPr>
        <w:spacing w:line="360" w:lineRule="auto"/>
        <w:rPr>
          <w:rFonts w:hint="eastAsia" w:ascii="仿宋_GB2312" w:hAnsi="仿宋_GB2312" w:eastAsia="仿宋_GB2312" w:cs="仿宋_GB2312"/>
          <w:b/>
          <w:bCs/>
          <w:color w:val="auto"/>
          <w:sz w:val="40"/>
          <w:szCs w:val="40"/>
          <w:highlight w:val="none"/>
          <w:lang w:eastAsia="zh-CN"/>
        </w:rPr>
      </w:pPr>
    </w:p>
    <w:p w14:paraId="6D378280">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内蒙古自治区巴彦淖尔市医院网络安全</w:t>
      </w:r>
    </w:p>
    <w:p w14:paraId="1885DC20">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服务项目</w:t>
      </w:r>
    </w:p>
    <w:p w14:paraId="2A95C1E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auto"/>
          <w:sz w:val="48"/>
          <w:szCs w:val="48"/>
          <w:highlight w:val="none"/>
          <w:lang w:val="en-US" w:eastAsia="zh-CN"/>
        </w:rPr>
      </w:pPr>
    </w:p>
    <w:p w14:paraId="38202CA5">
      <w:pPr>
        <w:pStyle w:val="5"/>
        <w:rPr>
          <w:rFonts w:hint="eastAsia" w:ascii="仿宋_GB2312" w:hAnsi="仿宋_GB2312" w:eastAsia="仿宋_GB2312" w:cs="仿宋_GB2312"/>
          <w:color w:val="auto"/>
          <w:highlight w:val="none"/>
          <w:lang w:eastAsia="zh-CN"/>
        </w:rPr>
      </w:pPr>
    </w:p>
    <w:p w14:paraId="09E85EE2">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57B90E59">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w:t>
      </w:r>
      <w:r>
        <w:rPr>
          <w:rFonts w:hint="eastAsia" w:ascii="仿宋_GB2312" w:hAnsi="仿宋_GB2312" w:eastAsia="仿宋_GB2312" w:cs="仿宋_GB2312"/>
          <w:b/>
          <w:color w:val="auto"/>
          <w:sz w:val="28"/>
          <w:szCs w:val="84"/>
          <w:highlight w:val="none"/>
          <w:lang w:val="en-US" w:eastAsia="zh-CN"/>
        </w:rPr>
        <w:t>0004</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auto"/>
          <w:sz w:val="18"/>
          <w:szCs w:val="18"/>
          <w:highlight w:val="none"/>
          <w:lang w:eastAsia="zh-CN"/>
        </w:rPr>
      </w:pPr>
    </w:p>
    <w:p w14:paraId="5B6294E0">
      <w:pPr>
        <w:spacing w:line="360" w:lineRule="auto"/>
        <w:ind w:firstLine="1175" w:firstLineChars="650"/>
        <w:jc w:val="center"/>
        <w:rPr>
          <w:rFonts w:hint="eastAsia" w:ascii="仿宋_GB2312" w:hAnsi="仿宋_GB2312" w:eastAsia="仿宋_GB2312" w:cs="仿宋_GB2312"/>
          <w:b/>
          <w:bCs/>
          <w:color w:val="auto"/>
          <w:sz w:val="18"/>
          <w:szCs w:val="18"/>
          <w:highlight w:val="none"/>
          <w:lang w:eastAsia="zh-CN"/>
        </w:rPr>
      </w:pPr>
    </w:p>
    <w:p w14:paraId="637586A8">
      <w:pPr>
        <w:tabs>
          <w:tab w:val="left" w:pos="4695"/>
        </w:tabs>
        <w:spacing w:line="360" w:lineRule="auto"/>
        <w:jc w:val="center"/>
        <w:rPr>
          <w:rFonts w:hint="eastAsia" w:ascii="仿宋_GB2312" w:hAnsi="仿宋_GB2312" w:eastAsia="仿宋_GB2312" w:cs="仿宋_GB2312"/>
          <w:b/>
          <w:bCs/>
          <w:color w:val="auto"/>
          <w:sz w:val="40"/>
          <w:highlight w:val="none"/>
          <w:lang w:eastAsia="zh-CN"/>
        </w:rPr>
      </w:pPr>
      <w:r>
        <w:rPr>
          <w:rFonts w:hint="eastAsia" w:ascii="仿宋_GB2312" w:hAnsi="仿宋_GB2312" w:eastAsia="仿宋_GB2312" w:cs="仿宋_GB2312"/>
          <w:b/>
          <w:bCs/>
          <w:color w:val="auto"/>
          <w:sz w:val="48"/>
          <w:szCs w:val="32"/>
          <w:highlight w:val="none"/>
          <w:lang w:eastAsia="zh-CN"/>
        </w:rPr>
        <w:t>（电子版投标文件）</w:t>
      </w:r>
    </w:p>
    <w:p w14:paraId="0ECB2FD6">
      <w:pPr>
        <w:pStyle w:val="5"/>
        <w:rPr>
          <w:rFonts w:hint="eastAsia" w:ascii="仿宋_GB2312" w:hAnsi="仿宋_GB2312" w:eastAsia="仿宋_GB2312" w:cs="仿宋_GB2312"/>
          <w:color w:val="auto"/>
          <w:highlight w:val="none"/>
          <w:lang w:val="en-US" w:eastAsia="zh-CN"/>
        </w:rPr>
      </w:pPr>
    </w:p>
    <w:p w14:paraId="58114182">
      <w:pPr>
        <w:spacing w:line="360" w:lineRule="auto"/>
        <w:rPr>
          <w:rFonts w:hint="eastAsia" w:ascii="仿宋_GB2312" w:hAnsi="仿宋_GB2312" w:eastAsia="仿宋_GB2312" w:cs="仿宋_GB2312"/>
          <w:b/>
          <w:bCs/>
          <w:color w:val="auto"/>
          <w:sz w:val="28"/>
          <w:szCs w:val="28"/>
          <w:highlight w:val="none"/>
          <w:lang w:val="en-US" w:eastAsia="zh-CN"/>
        </w:rPr>
      </w:pPr>
      <w:bookmarkStart w:id="149" w:name="_Toc30497_WPSOffice_Level1"/>
      <w:bookmarkStart w:id="150" w:name="_Toc3444_WPSOffice_Level1"/>
      <w:bookmarkStart w:id="151" w:name="_Toc3409_WPSOffice_Level1"/>
      <w:bookmarkStart w:id="152" w:name="_Toc869_WPSOffice_Level1"/>
      <w:bookmarkStart w:id="153" w:name="_Toc4604_WPSOffice_Level1"/>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1415EFCE">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1EBB769A">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w:t>
      </w:r>
      <w:bookmarkEnd w:id="149"/>
      <w:bookmarkEnd w:id="150"/>
      <w:bookmarkEnd w:id="151"/>
      <w:bookmarkEnd w:id="152"/>
      <w:bookmarkEnd w:id="153"/>
      <w:r>
        <w:rPr>
          <w:rFonts w:hint="eastAsia" w:ascii="仿宋_GB2312" w:hAnsi="仿宋_GB2312" w:eastAsia="仿宋_GB2312" w:cs="仿宋_GB2312"/>
          <w:b/>
          <w:bCs/>
          <w:color w:val="auto"/>
          <w:sz w:val="28"/>
          <w:szCs w:val="28"/>
          <w:highlight w:val="none"/>
          <w:lang w:eastAsia="zh-CN"/>
        </w:rPr>
        <w:t>巴彦淖尔市医院招标采购办公室</w:t>
      </w:r>
    </w:p>
    <w:p w14:paraId="3591EC88">
      <w:pPr>
        <w:spacing w:line="360" w:lineRule="auto"/>
        <w:rPr>
          <w:rFonts w:hint="eastAsia" w:ascii="仿宋_GB2312" w:hAnsi="仿宋_GB2312" w:eastAsia="仿宋_GB2312" w:cs="仿宋_GB2312"/>
          <w:b/>
          <w:bCs/>
          <w:color w:val="auto"/>
          <w:sz w:val="28"/>
          <w:szCs w:val="28"/>
          <w:highlight w:val="none"/>
          <w:lang w:eastAsia="zh-CN"/>
        </w:rPr>
      </w:pPr>
      <w:bookmarkStart w:id="154" w:name="_Toc31390_WPSOffice_Level1"/>
      <w:bookmarkStart w:id="155" w:name="_Toc7885_WPSOffice_Level1"/>
      <w:bookmarkStart w:id="156" w:name="_Toc29954_WPSOffice_Level1"/>
      <w:bookmarkStart w:id="157" w:name="_Toc13773_WPSOffice_Level1"/>
      <w:bookmarkStart w:id="158" w:name="_Toc6085_WPSOffice_Level1"/>
      <w:r>
        <w:rPr>
          <w:rFonts w:hint="eastAsia" w:ascii="仿宋_GB2312" w:hAnsi="仿宋_GB2312" w:eastAsia="仿宋_GB2312" w:cs="仿宋_GB2312"/>
          <w:b/>
          <w:bCs/>
          <w:color w:val="auto"/>
          <w:sz w:val="28"/>
          <w:szCs w:val="28"/>
          <w:highlight w:val="none"/>
          <w:lang w:eastAsia="zh-CN"/>
        </w:rPr>
        <w:t>投标单位：</w:t>
      </w:r>
      <w:bookmarkEnd w:id="154"/>
      <w:bookmarkEnd w:id="155"/>
      <w:bookmarkEnd w:id="156"/>
      <w:bookmarkEnd w:id="157"/>
      <w:bookmarkEnd w:id="158"/>
    </w:p>
    <w:p w14:paraId="3A2742B8">
      <w:pPr>
        <w:spacing w:line="360" w:lineRule="auto"/>
        <w:rPr>
          <w:rFonts w:hint="eastAsia" w:ascii="仿宋_GB2312" w:hAnsi="仿宋_GB2312" w:eastAsia="仿宋_GB2312" w:cs="仿宋_GB2312"/>
          <w:b/>
          <w:bCs/>
          <w:color w:val="auto"/>
          <w:sz w:val="28"/>
          <w:szCs w:val="28"/>
          <w:highlight w:val="none"/>
          <w:lang w:eastAsia="zh-CN"/>
        </w:rPr>
      </w:pPr>
      <w:bookmarkStart w:id="159" w:name="_Toc18690_WPSOffice_Level1"/>
      <w:bookmarkStart w:id="160" w:name="_Toc4251_WPSOffice_Level1"/>
      <w:bookmarkStart w:id="161" w:name="_Toc27928_WPSOffice_Level1"/>
      <w:bookmarkStart w:id="162" w:name="_Toc16171_WPSOffice_Level1"/>
      <w:bookmarkStart w:id="163" w:name="_Toc25810_WPSOffice_Level1"/>
      <w:r>
        <w:rPr>
          <w:rFonts w:hint="eastAsia" w:ascii="仿宋_GB2312" w:hAnsi="仿宋_GB2312" w:eastAsia="仿宋_GB2312" w:cs="仿宋_GB2312"/>
          <w:b/>
          <w:bCs/>
          <w:color w:val="auto"/>
          <w:sz w:val="28"/>
          <w:szCs w:val="28"/>
          <w:highlight w:val="none"/>
          <w:lang w:eastAsia="zh-CN"/>
        </w:rPr>
        <w:t>办公地址：</w:t>
      </w:r>
      <w:bookmarkEnd w:id="159"/>
      <w:bookmarkEnd w:id="160"/>
      <w:bookmarkEnd w:id="161"/>
      <w:bookmarkEnd w:id="162"/>
      <w:bookmarkEnd w:id="163"/>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CD0B7"/>
    <w:multiLevelType w:val="singleLevel"/>
    <w:tmpl w:val="FC4CD0B7"/>
    <w:lvl w:ilvl="0" w:tentative="0">
      <w:start w:val="1"/>
      <w:numFmt w:val="decimal"/>
      <w:lvlText w:val="%1)"/>
      <w:lvlJc w:val="left"/>
      <w:pPr>
        <w:tabs>
          <w:tab w:val="left" w:pos="312"/>
        </w:tabs>
      </w:pPr>
      <w:rPr>
        <w:rFonts w:hint="default"/>
        <w:color w:val="auto"/>
      </w:rPr>
    </w:lvl>
  </w:abstractNum>
  <w:abstractNum w:abstractNumId="1">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2">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3">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4">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5">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6">
    <w:nsid w:val="5F2B7072"/>
    <w:multiLevelType w:val="singleLevel"/>
    <w:tmpl w:val="5F2B7072"/>
    <w:lvl w:ilvl="0" w:tentative="0">
      <w:start w:val="1"/>
      <w:numFmt w:val="decimal"/>
      <w:suff w:val="space"/>
      <w:lvlText w:val="%1."/>
      <w:lvlJc w:val="left"/>
    </w:lvl>
  </w:abstractNum>
  <w:num w:numId="1">
    <w:abstractNumId w:val="5"/>
  </w:num>
  <w:num w:numId="2">
    <w:abstractNumId w:val="3"/>
  </w:num>
  <w:num w:numId="3">
    <w:abstractNumId w:val="2"/>
  </w:num>
  <w:num w:numId="4">
    <w:abstractNumId w:val="1"/>
    <w:lvlOverride w:ilvl="0">
      <w:startOverride w:val="1"/>
    </w:lvlOverride>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3664E50"/>
    <w:rsid w:val="03E248CB"/>
    <w:rsid w:val="03FB72AD"/>
    <w:rsid w:val="045A0970"/>
    <w:rsid w:val="04631B16"/>
    <w:rsid w:val="04B74646"/>
    <w:rsid w:val="04D2094D"/>
    <w:rsid w:val="04EE5E47"/>
    <w:rsid w:val="05B02E6B"/>
    <w:rsid w:val="060B5B05"/>
    <w:rsid w:val="061A10D1"/>
    <w:rsid w:val="0646292E"/>
    <w:rsid w:val="06897690"/>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77416C6"/>
    <w:rsid w:val="17CB709B"/>
    <w:rsid w:val="18890233"/>
    <w:rsid w:val="190613F0"/>
    <w:rsid w:val="1A0B2450"/>
    <w:rsid w:val="1AA317AE"/>
    <w:rsid w:val="1AC35C7E"/>
    <w:rsid w:val="1ACD60ED"/>
    <w:rsid w:val="1B0D6EF9"/>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D936C9"/>
    <w:rsid w:val="2A1A0CEB"/>
    <w:rsid w:val="2A4C59F1"/>
    <w:rsid w:val="2AA01C61"/>
    <w:rsid w:val="2ADA40E9"/>
    <w:rsid w:val="2AEB0EDA"/>
    <w:rsid w:val="2B416AEF"/>
    <w:rsid w:val="2BAF4C2B"/>
    <w:rsid w:val="2CC119EE"/>
    <w:rsid w:val="2DD6222D"/>
    <w:rsid w:val="2E231CE9"/>
    <w:rsid w:val="2E444588"/>
    <w:rsid w:val="2E6322C2"/>
    <w:rsid w:val="2E7806D6"/>
    <w:rsid w:val="2EEB16D0"/>
    <w:rsid w:val="2F7B222C"/>
    <w:rsid w:val="302318EF"/>
    <w:rsid w:val="3030226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6A35D69"/>
    <w:rsid w:val="370C094E"/>
    <w:rsid w:val="37A407C2"/>
    <w:rsid w:val="37A92F19"/>
    <w:rsid w:val="383268CB"/>
    <w:rsid w:val="38983E4E"/>
    <w:rsid w:val="38BF6537"/>
    <w:rsid w:val="395E1A72"/>
    <w:rsid w:val="39F252A2"/>
    <w:rsid w:val="3A8B09CD"/>
    <w:rsid w:val="3ACA63D3"/>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F1476D"/>
    <w:rsid w:val="441C4584"/>
    <w:rsid w:val="44C86EC2"/>
    <w:rsid w:val="44EB3CC2"/>
    <w:rsid w:val="45AE7BD5"/>
    <w:rsid w:val="4607258F"/>
    <w:rsid w:val="469A023F"/>
    <w:rsid w:val="46BB05D2"/>
    <w:rsid w:val="47955072"/>
    <w:rsid w:val="48147269"/>
    <w:rsid w:val="48D5481C"/>
    <w:rsid w:val="49135A59"/>
    <w:rsid w:val="4A5B0BEC"/>
    <w:rsid w:val="4A6C4287"/>
    <w:rsid w:val="4A6F21B1"/>
    <w:rsid w:val="4A895CED"/>
    <w:rsid w:val="4A966E7F"/>
    <w:rsid w:val="4B0D43DA"/>
    <w:rsid w:val="4BE8421C"/>
    <w:rsid w:val="4C2006FA"/>
    <w:rsid w:val="4CDF08B8"/>
    <w:rsid w:val="4E15344E"/>
    <w:rsid w:val="4E3617BE"/>
    <w:rsid w:val="4E8A0C6F"/>
    <w:rsid w:val="4E8D420E"/>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A7392"/>
    <w:rsid w:val="64643493"/>
    <w:rsid w:val="6599224A"/>
    <w:rsid w:val="659D59B0"/>
    <w:rsid w:val="66B83033"/>
    <w:rsid w:val="66FB3DFB"/>
    <w:rsid w:val="67094DB6"/>
    <w:rsid w:val="6788570F"/>
    <w:rsid w:val="678C52DB"/>
    <w:rsid w:val="684366FE"/>
    <w:rsid w:val="690C2DAC"/>
    <w:rsid w:val="69591C34"/>
    <w:rsid w:val="69760252"/>
    <w:rsid w:val="69AD0769"/>
    <w:rsid w:val="69DE12A1"/>
    <w:rsid w:val="6A9B350A"/>
    <w:rsid w:val="6B4E3330"/>
    <w:rsid w:val="6C2B0397"/>
    <w:rsid w:val="6CCB5899"/>
    <w:rsid w:val="6D674F2E"/>
    <w:rsid w:val="6DC13407"/>
    <w:rsid w:val="6E8642F1"/>
    <w:rsid w:val="6EA073F7"/>
    <w:rsid w:val="6F271507"/>
    <w:rsid w:val="6FD74555"/>
    <w:rsid w:val="70410778"/>
    <w:rsid w:val="71AC7445"/>
    <w:rsid w:val="71E40ECD"/>
    <w:rsid w:val="725B3468"/>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10015</Words>
  <Characters>10881</Characters>
  <Lines>252</Lines>
  <Paragraphs>71</Paragraphs>
  <TotalTime>2</TotalTime>
  <ScaleCrop>false</ScaleCrop>
  <LinksUpToDate>false</LinksUpToDate>
  <CharactersWithSpaces>12906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2025-10-11T01:10:06Z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30F311629FCB48AD95F0EA04E5AECB76_13</vt:lpwstr>
  </property>
  <property fmtid="{D5CDD505-2E9C-101B-9397-08002B2CF9AE}" pid="4" name="KSOTemplateDocerSaveRecord">
    <vt:lpwstr>eyJoZGlkIjoiZTYwMjU3ZGQ1OTY4MDFkYmI0NTViODQ3MWUxYjlhNzYiLCJ1c2VySWQiOiIzOTEyODMyMjQifQ==</vt:lpwstr>
  </property>
</Properties>
</file>