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B7216">
      <w:pPr>
        <w:pStyle w:val="8"/>
      </w:pPr>
    </w:p>
    <w:p w14:paraId="4D679A63">
      <w:pPr>
        <w:pStyle w:val="7"/>
        <w:rPr>
          <w:sz w:val="20"/>
        </w:rPr>
      </w:pPr>
    </w:p>
    <w:p w14:paraId="4A6E3E52">
      <w:pPr>
        <w:pStyle w:val="7"/>
        <w:rPr>
          <w:sz w:val="20"/>
        </w:rPr>
      </w:pPr>
    </w:p>
    <w:p w14:paraId="22969806">
      <w:pPr>
        <w:pStyle w:val="7"/>
        <w:rPr>
          <w:sz w:val="20"/>
        </w:rPr>
      </w:pPr>
    </w:p>
    <w:p w14:paraId="53D04133">
      <w:pPr>
        <w:pStyle w:val="7"/>
      </w:pPr>
    </w:p>
    <w:p w14:paraId="6A15C5CE">
      <w:pPr>
        <w:pStyle w:val="7"/>
        <w:rPr>
          <w:sz w:val="20"/>
        </w:rPr>
      </w:pPr>
    </w:p>
    <w:p w14:paraId="04D5F0EB">
      <w:pPr>
        <w:pStyle w:val="7"/>
        <w:rPr>
          <w:sz w:val="20"/>
        </w:rPr>
      </w:pPr>
    </w:p>
    <w:p w14:paraId="1D012CD7">
      <w:pPr>
        <w:spacing w:before="186" w:line="220" w:lineRule="auto"/>
        <w:ind w:left="187" w:right="243"/>
        <w:jc w:val="center"/>
        <w:rPr>
          <w:rFonts w:ascii="黑体" w:hAnsi="黑体" w:eastAsia="黑体"/>
          <w:b/>
          <w:sz w:val="72"/>
          <w:szCs w:val="24"/>
          <w:lang w:eastAsia="zh-CN"/>
        </w:rPr>
      </w:pPr>
      <w:r>
        <w:rPr>
          <w:rFonts w:hint="eastAsia" w:ascii="黑体" w:hAnsi="黑体" w:eastAsia="黑体" w:cs="方正小标宋简体"/>
          <w:sz w:val="48"/>
          <w:szCs w:val="48"/>
          <w:lang w:eastAsia="zh-CN"/>
        </w:rPr>
        <w:t>巴彦淖尔市医院精神科设备购置项目</w:t>
      </w:r>
    </w:p>
    <w:p w14:paraId="70E267AC">
      <w:pPr>
        <w:pStyle w:val="7"/>
        <w:rPr>
          <w:rFonts w:ascii="黑体" w:hAnsi="黑体" w:eastAsia="黑体"/>
          <w:b/>
          <w:sz w:val="62"/>
          <w:lang w:eastAsia="zh-CN"/>
        </w:rPr>
      </w:pPr>
    </w:p>
    <w:p w14:paraId="033809E2">
      <w:pPr>
        <w:pStyle w:val="7"/>
        <w:spacing w:before="9" w:line="600" w:lineRule="exact"/>
        <w:rPr>
          <w:rFonts w:ascii="黑体" w:hAnsi="黑体" w:eastAsia="黑体"/>
          <w:b/>
          <w:sz w:val="74"/>
          <w:lang w:eastAsia="zh-CN"/>
        </w:rPr>
      </w:pPr>
    </w:p>
    <w:p w14:paraId="5AC948FD">
      <w:pPr>
        <w:pStyle w:val="2"/>
        <w:spacing w:before="0"/>
        <w:ind w:right="215"/>
        <w:rPr>
          <w:rFonts w:ascii="黑体" w:hAnsi="黑体" w:eastAsia="黑体" w:cs="仿宋_GB2312"/>
          <w:sz w:val="32"/>
          <w:szCs w:val="32"/>
          <w:lang w:eastAsia="zh-CN"/>
        </w:rPr>
      </w:pPr>
      <w:r>
        <w:rPr>
          <w:rFonts w:hint="eastAsia" w:ascii="黑体" w:hAnsi="黑体" w:eastAsia="黑体" w:cs="仿宋_GB2312"/>
          <w:sz w:val="52"/>
          <w:szCs w:val="52"/>
          <w:lang w:eastAsia="zh-CN"/>
        </w:rPr>
        <w:t>竞争性谈判通知书</w:t>
      </w:r>
    </w:p>
    <w:p w14:paraId="27E9CA86">
      <w:pPr>
        <w:pStyle w:val="7"/>
        <w:spacing w:line="600" w:lineRule="exact"/>
        <w:rPr>
          <w:rFonts w:ascii="黑体" w:hAnsi="黑体" w:eastAsia="黑体"/>
          <w:b/>
          <w:sz w:val="30"/>
          <w:lang w:eastAsia="zh-CN"/>
        </w:rPr>
      </w:pPr>
    </w:p>
    <w:p w14:paraId="57DA9809">
      <w:pPr>
        <w:pStyle w:val="7"/>
        <w:spacing w:line="600" w:lineRule="exact"/>
        <w:rPr>
          <w:rStyle w:val="15"/>
          <w:lang w:eastAsia="zh-CN"/>
        </w:rPr>
      </w:pPr>
    </w:p>
    <w:p w14:paraId="2C236465">
      <w:pPr>
        <w:pStyle w:val="7"/>
        <w:spacing w:line="600" w:lineRule="exact"/>
        <w:rPr>
          <w:b/>
          <w:sz w:val="30"/>
          <w:lang w:eastAsia="zh-CN"/>
        </w:rPr>
      </w:pPr>
    </w:p>
    <w:p w14:paraId="3A62C638">
      <w:pPr>
        <w:pStyle w:val="7"/>
        <w:spacing w:line="600" w:lineRule="exact"/>
        <w:rPr>
          <w:b/>
          <w:sz w:val="30"/>
          <w:lang w:eastAsia="zh-CN"/>
        </w:rPr>
      </w:pPr>
    </w:p>
    <w:p w14:paraId="1BB8B284">
      <w:pPr>
        <w:pStyle w:val="7"/>
        <w:spacing w:before="6" w:line="600" w:lineRule="exact"/>
        <w:rPr>
          <w:rFonts w:ascii="仿宋_GB2312" w:hAnsi="仿宋_GB2312" w:eastAsia="仿宋_GB2312" w:cs="仿宋_GB2312"/>
          <w:b/>
          <w:sz w:val="32"/>
          <w:szCs w:val="32"/>
          <w:lang w:eastAsia="zh-CN"/>
        </w:rPr>
      </w:pPr>
    </w:p>
    <w:p w14:paraId="7CB93829">
      <w:pPr>
        <w:pStyle w:val="3"/>
        <w:spacing w:line="600" w:lineRule="exact"/>
        <w:ind w:left="0"/>
        <w:jc w:val="center"/>
        <w:rPr>
          <w:rFonts w:ascii="黑体" w:hAnsi="黑体" w:eastAsia="黑体" w:cs="仿宋_GB2312"/>
          <w:b w:val="0"/>
          <w:bCs w:val="0"/>
          <w:sz w:val="32"/>
          <w:szCs w:val="32"/>
          <w:lang w:eastAsia="zh-CN"/>
        </w:rPr>
      </w:pPr>
      <w:r>
        <w:rPr>
          <w:rFonts w:hint="eastAsia" w:ascii="黑体" w:hAnsi="黑体" w:eastAsia="黑体" w:cs="仿宋_GB2312"/>
          <w:b w:val="0"/>
          <w:bCs w:val="0"/>
          <w:sz w:val="32"/>
          <w:szCs w:val="32"/>
          <w:lang w:eastAsia="zh-CN"/>
        </w:rPr>
        <w:t>采购单位名称：巴彦淖尔市医院</w:t>
      </w:r>
    </w:p>
    <w:p w14:paraId="3DE0F593">
      <w:pPr>
        <w:spacing w:line="600" w:lineRule="exact"/>
        <w:ind w:left="2644" w:right="2860"/>
        <w:jc w:val="center"/>
        <w:rPr>
          <w:rFonts w:ascii="仿宋_GB2312" w:hAnsi="仿宋_GB2312" w:eastAsia="仿宋_GB2312" w:cs="仿宋_GB2312"/>
          <w:b/>
          <w:w w:val="110"/>
          <w:sz w:val="32"/>
          <w:szCs w:val="32"/>
          <w:lang w:eastAsia="zh-CN"/>
        </w:rPr>
      </w:pPr>
    </w:p>
    <w:p w14:paraId="5B1A58EF">
      <w:pPr>
        <w:spacing w:line="600" w:lineRule="exact"/>
        <w:ind w:right="79"/>
        <w:jc w:val="center"/>
        <w:rPr>
          <w:rFonts w:hint="default" w:ascii="仿宋_GB2312" w:hAnsi="仿宋_GB2312" w:eastAsia="仿宋_GB2312" w:cs="仿宋_GB2312"/>
          <w:b/>
          <w:color w:val="FF0000"/>
          <w:sz w:val="32"/>
          <w:szCs w:val="32"/>
          <w:lang w:val="en-US" w:eastAsia="zh-CN"/>
        </w:rPr>
      </w:pPr>
      <w:r>
        <w:rPr>
          <w:rFonts w:hint="eastAsia" w:ascii="仿宋_GB2312" w:hAnsi="仿宋_GB2312" w:eastAsia="仿宋_GB2312" w:cs="仿宋_GB2312"/>
          <w:b/>
          <w:color w:val="FF0000"/>
          <w:w w:val="110"/>
          <w:sz w:val="32"/>
          <w:szCs w:val="32"/>
          <w:lang w:eastAsia="zh-CN"/>
        </w:rPr>
        <w:t>项目编号：BSYY-2026-0015</w:t>
      </w:r>
      <w:r>
        <w:rPr>
          <w:rFonts w:hint="eastAsia" w:ascii="仿宋_GB2312" w:hAnsi="仿宋_GB2312" w:eastAsia="仿宋_GB2312" w:cs="仿宋_GB2312"/>
          <w:b/>
          <w:color w:val="FF0000"/>
          <w:w w:val="110"/>
          <w:sz w:val="32"/>
          <w:szCs w:val="32"/>
          <w:lang w:val="en-US" w:eastAsia="zh-CN"/>
        </w:rPr>
        <w:t>-1</w:t>
      </w:r>
    </w:p>
    <w:p w14:paraId="31056979">
      <w:pPr>
        <w:pStyle w:val="7"/>
        <w:rPr>
          <w:rFonts w:ascii="仿宋_GB2312" w:hAnsi="仿宋_GB2312" w:eastAsia="仿宋_GB2312" w:cs="仿宋_GB2312"/>
          <w:b/>
          <w:sz w:val="32"/>
          <w:szCs w:val="32"/>
          <w:lang w:eastAsia="zh-CN"/>
        </w:rPr>
      </w:pPr>
    </w:p>
    <w:p w14:paraId="5E2EE082">
      <w:pPr>
        <w:pStyle w:val="7"/>
        <w:spacing w:before="16" w:line="600" w:lineRule="exact"/>
        <w:rPr>
          <w:rFonts w:ascii="仿宋_GB2312" w:hAnsi="仿宋_GB2312" w:eastAsia="仿宋_GB2312" w:cs="仿宋_GB2312"/>
          <w:b/>
          <w:sz w:val="32"/>
          <w:szCs w:val="32"/>
          <w:lang w:eastAsia="zh-CN"/>
        </w:rPr>
      </w:pPr>
    </w:p>
    <w:p w14:paraId="6267EA74">
      <w:pPr>
        <w:spacing w:line="600" w:lineRule="exact"/>
        <w:ind w:left="187" w:right="208"/>
        <w:jc w:val="center"/>
        <w:rPr>
          <w:rFonts w:ascii="仿宋_GB2312" w:hAnsi="仿宋_GB2312" w:eastAsia="仿宋_GB2312" w:cs="仿宋_GB2312"/>
          <w:b/>
          <w:color w:val="FF0000"/>
          <w:sz w:val="32"/>
          <w:szCs w:val="32"/>
          <w:lang w:eastAsia="zh-CN"/>
        </w:rPr>
      </w:pPr>
      <w:r>
        <w:rPr>
          <w:rFonts w:hint="eastAsia" w:ascii="仿宋_GB2312" w:hAnsi="仿宋_GB2312" w:eastAsia="仿宋_GB2312" w:cs="仿宋_GB2312"/>
          <w:b/>
          <w:color w:val="FF0000"/>
          <w:w w:val="115"/>
          <w:sz w:val="32"/>
          <w:szCs w:val="32"/>
          <w:lang w:eastAsia="zh-CN"/>
        </w:rPr>
        <w:t>2026年5月</w:t>
      </w:r>
      <w:r>
        <w:rPr>
          <w:rFonts w:hint="eastAsia" w:ascii="仿宋_GB2312" w:hAnsi="仿宋_GB2312" w:eastAsia="仿宋_GB2312" w:cs="仿宋_GB2312"/>
          <w:b/>
          <w:color w:val="FF0000"/>
          <w:w w:val="115"/>
          <w:sz w:val="32"/>
          <w:szCs w:val="32"/>
          <w:lang w:val="en-US" w:eastAsia="zh-CN"/>
        </w:rPr>
        <w:t>20</w:t>
      </w:r>
      <w:r>
        <w:rPr>
          <w:rFonts w:hint="eastAsia" w:ascii="仿宋_GB2312" w:hAnsi="仿宋_GB2312" w:eastAsia="仿宋_GB2312" w:cs="仿宋_GB2312"/>
          <w:b/>
          <w:color w:val="FF0000"/>
          <w:w w:val="115"/>
          <w:sz w:val="32"/>
          <w:szCs w:val="32"/>
          <w:lang w:eastAsia="zh-CN"/>
        </w:rPr>
        <w:t>日</w:t>
      </w:r>
    </w:p>
    <w:p w14:paraId="1659517C">
      <w:pPr>
        <w:spacing w:line="600" w:lineRule="exact"/>
        <w:jc w:val="center"/>
        <w:rPr>
          <w:color w:val="FF0000"/>
          <w:sz w:val="21"/>
          <w:lang w:eastAsia="zh-CN"/>
        </w:rPr>
        <w:sectPr>
          <w:footerReference r:id="rId3" w:type="default"/>
          <w:type w:val="continuous"/>
          <w:pgSz w:w="11900" w:h="16840"/>
          <w:pgMar w:top="1587" w:right="1587" w:bottom="1587" w:left="1587" w:header="113" w:footer="227" w:gutter="0"/>
          <w:pgNumType w:start="1"/>
          <w:cols w:space="720" w:num="1"/>
        </w:sectPr>
      </w:pPr>
    </w:p>
    <w:p w14:paraId="22ADD85B">
      <w:pPr>
        <w:spacing w:before="32"/>
        <w:ind w:left="187" w:right="216"/>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目 录</w:t>
      </w:r>
    </w:p>
    <w:p w14:paraId="46BA627B">
      <w:pPr>
        <w:pStyle w:val="7"/>
        <w:rPr>
          <w:b/>
          <w:sz w:val="20"/>
          <w:lang w:eastAsia="zh-CN"/>
        </w:rPr>
      </w:pPr>
    </w:p>
    <w:p w14:paraId="4D80C923">
      <w:pPr>
        <w:pStyle w:val="7"/>
        <w:rPr>
          <w:b/>
          <w:sz w:val="20"/>
          <w:lang w:eastAsia="zh-CN"/>
        </w:rPr>
      </w:pPr>
    </w:p>
    <w:p w14:paraId="03839A4F">
      <w:pPr>
        <w:pStyle w:val="7"/>
        <w:jc w:val="both"/>
        <w:rPr>
          <w:b/>
          <w:sz w:val="28"/>
          <w:lang w:eastAsia="zh-CN"/>
        </w:rPr>
      </w:pPr>
    </w:p>
    <w:p w14:paraId="16226A80">
      <w:pPr>
        <w:ind w:right="374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第一章 竞争性谈判邀请</w:t>
      </w:r>
    </w:p>
    <w:p w14:paraId="46B1EBF5">
      <w:pPr>
        <w:ind w:right="220"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第二章 供应商须知</w:t>
      </w:r>
    </w:p>
    <w:p w14:paraId="1018D302">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第三章 采购内容与技术要求</w:t>
      </w:r>
    </w:p>
    <w:p w14:paraId="631508E6">
      <w:pPr>
        <w:tabs>
          <w:tab w:val="left" w:pos="8800"/>
        </w:tabs>
        <w:ind w:right="-74"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第四章 供应商资格证明及相关文件要求</w:t>
      </w:r>
    </w:p>
    <w:p w14:paraId="7A81367F">
      <w:pPr>
        <w:ind w:right="79"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第五章 评审</w:t>
      </w:r>
    </w:p>
    <w:p w14:paraId="533F539B">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第六章 合同与验收</w:t>
      </w:r>
    </w:p>
    <w:p w14:paraId="2D378F15">
      <w:pPr>
        <w:ind w:firstLine="560" w:firstLineChars="200"/>
        <w:jc w:val="both"/>
        <w:rPr>
          <w:rFonts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lang w:eastAsia="zh-CN"/>
        </w:rPr>
        <w:t>第七章 响应文件格式与要求</w:t>
      </w:r>
    </w:p>
    <w:p w14:paraId="6896679C">
      <w:pPr>
        <w:rPr>
          <w:sz w:val="28"/>
          <w:szCs w:val="28"/>
          <w:lang w:eastAsia="zh-CN"/>
        </w:rPr>
      </w:pPr>
    </w:p>
    <w:p w14:paraId="77E6247F">
      <w:pPr>
        <w:tabs>
          <w:tab w:val="left" w:pos="3917"/>
        </w:tabs>
        <w:rPr>
          <w:lang w:eastAsia="zh-CN"/>
        </w:rPr>
        <w:sectPr>
          <w:pgSz w:w="11900" w:h="16840"/>
          <w:pgMar w:top="1587" w:right="1587" w:bottom="1587" w:left="1587" w:header="0" w:footer="227" w:gutter="0"/>
          <w:cols w:space="720" w:num="1"/>
        </w:sectPr>
      </w:pPr>
      <w:r>
        <w:rPr>
          <w:rFonts w:hint="eastAsia"/>
          <w:lang w:eastAsia="zh-CN"/>
        </w:rPr>
        <w:tab/>
      </w:r>
    </w:p>
    <w:p w14:paraId="7D6D1E44">
      <w:pPr>
        <w:spacing w:before="32" w:line="600" w:lineRule="exact"/>
        <w:ind w:hanging="5"/>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第一章 竞争性谈判邀请</w:t>
      </w:r>
    </w:p>
    <w:p w14:paraId="4023000D">
      <w:pPr>
        <w:autoSpaceDE/>
        <w:autoSpaceDN/>
        <w:spacing w:line="380" w:lineRule="auto"/>
        <w:ind w:firstLine="380" w:firstLineChars="200"/>
        <w:jc w:val="both"/>
        <w:rPr>
          <w:sz w:val="19"/>
          <w:szCs w:val="19"/>
          <w:lang w:eastAsia="zh-CN"/>
        </w:rPr>
      </w:pPr>
    </w:p>
    <w:p w14:paraId="482C058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巴彦淖尔市医院采用竞争性谈判方式组织采购精神科设备项目。欢迎符合资格条件的供应商前来参加。</w:t>
      </w:r>
    </w:p>
    <w:p w14:paraId="2A23A635">
      <w:pPr>
        <w:autoSpaceDE/>
        <w:autoSpaceDN/>
        <w:jc w:val="both"/>
        <w:rPr>
          <w:rFonts w:ascii="黑体" w:hAnsi="黑体" w:eastAsia="黑体" w:cs="仿宋_GB2312"/>
          <w:sz w:val="24"/>
          <w:szCs w:val="24"/>
          <w:lang w:eastAsia="zh-CN"/>
        </w:rPr>
      </w:pPr>
      <w:r>
        <w:rPr>
          <w:rFonts w:hint="eastAsia" w:ascii="黑体" w:hAnsi="黑体" w:eastAsia="黑体" w:cs="仿宋_GB2312"/>
          <w:sz w:val="24"/>
          <w:szCs w:val="24"/>
          <w:lang w:eastAsia="zh-CN"/>
        </w:rPr>
        <w:t>一、项目概况</w:t>
      </w:r>
    </w:p>
    <w:p w14:paraId="45DFCE67">
      <w:pPr>
        <w:pStyle w:val="7"/>
        <w:ind w:left="381"/>
        <w:rPr>
          <w:rFonts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(一)名称与编号</w:t>
      </w:r>
    </w:p>
    <w:p w14:paraId="58AAE881">
      <w:pPr>
        <w:ind w:left="381"/>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项目名称：巴彦淖尔市医院精神科设备购置项目</w:t>
      </w:r>
    </w:p>
    <w:p w14:paraId="0CB496EA">
      <w:pPr>
        <w:pStyle w:val="7"/>
        <w:ind w:firstLine="380"/>
        <w:rPr>
          <w:rFonts w:hint="default" w:ascii="仿宋_GB2312" w:hAnsi="仿宋_GB2312" w:eastAsia="仿宋_GB2312" w:cs="仿宋_GB2312"/>
          <w:color w:val="FF0000"/>
          <w:sz w:val="24"/>
          <w:szCs w:val="24"/>
          <w:lang w:val="en-US" w:eastAsia="zh-CN"/>
        </w:rPr>
      </w:pPr>
      <w:r>
        <w:rPr>
          <w:rFonts w:hint="eastAsia" w:ascii="仿宋_GB2312" w:hAnsi="仿宋_GB2312" w:eastAsia="仿宋_GB2312" w:cs="仿宋_GB2312"/>
          <w:color w:val="FF0000"/>
          <w:sz w:val="24"/>
          <w:szCs w:val="24"/>
          <w:lang w:eastAsia="zh-CN"/>
        </w:rPr>
        <w:t>项目编号：BSYY-2026-0015</w:t>
      </w:r>
      <w:r>
        <w:rPr>
          <w:rFonts w:hint="eastAsia" w:ascii="仿宋_GB2312" w:hAnsi="仿宋_GB2312" w:eastAsia="仿宋_GB2312" w:cs="仿宋_GB2312"/>
          <w:color w:val="FF0000"/>
          <w:sz w:val="24"/>
          <w:szCs w:val="24"/>
          <w:lang w:val="en-US" w:eastAsia="zh-CN"/>
        </w:rPr>
        <w:t>-1</w:t>
      </w:r>
    </w:p>
    <w:tbl>
      <w:tblPr>
        <w:tblStyle w:val="1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422"/>
        <w:gridCol w:w="1282"/>
        <w:gridCol w:w="1623"/>
        <w:gridCol w:w="1459"/>
        <w:gridCol w:w="776"/>
      </w:tblGrid>
      <w:tr w14:paraId="0B13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23" w:type="dxa"/>
            <w:vAlign w:val="center"/>
          </w:tcPr>
          <w:p w14:paraId="1D38C54F">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包号</w:t>
            </w:r>
          </w:p>
        </w:tc>
        <w:tc>
          <w:tcPr>
            <w:tcW w:w="2422" w:type="dxa"/>
            <w:vAlign w:val="center"/>
          </w:tcPr>
          <w:p w14:paraId="1AB7114D">
            <w:pPr>
              <w:pStyle w:val="10"/>
              <w:widowControl/>
              <w:shd w:val="clear" w:color="auto" w:fill="FFFFFF"/>
              <w:spacing w:beforeAutospacing="0" w:afterAutospacing="0" w:line="300" w:lineRule="exact"/>
              <w:ind w:firstLine="33"/>
              <w:jc w:val="left"/>
              <w:rPr>
                <w:rFonts w:ascii="仿宋_GB2312" w:hAnsi="仿宋_GB2312" w:eastAsia="仿宋_GB2312" w:cs="仿宋_GB2312"/>
                <w:szCs w:val="24"/>
              </w:rPr>
            </w:pPr>
            <w:r>
              <w:rPr>
                <w:rFonts w:hint="eastAsia" w:ascii="仿宋_GB2312" w:hAnsi="仿宋_GB2312" w:eastAsia="仿宋_GB2312" w:cs="仿宋_GB2312"/>
                <w:szCs w:val="24"/>
              </w:rPr>
              <w:t>品目名称</w:t>
            </w:r>
          </w:p>
        </w:tc>
        <w:tc>
          <w:tcPr>
            <w:tcW w:w="1282" w:type="dxa"/>
            <w:vAlign w:val="center"/>
          </w:tcPr>
          <w:p w14:paraId="1C36F67D">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数量</w:t>
            </w:r>
          </w:p>
          <w:p w14:paraId="604D66E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（单位）</w:t>
            </w:r>
          </w:p>
        </w:tc>
        <w:tc>
          <w:tcPr>
            <w:tcW w:w="1623" w:type="dxa"/>
            <w:vAlign w:val="center"/>
          </w:tcPr>
          <w:p w14:paraId="74839424">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技术规格、参数及要求</w:t>
            </w:r>
          </w:p>
        </w:tc>
        <w:tc>
          <w:tcPr>
            <w:tcW w:w="1459" w:type="dxa"/>
            <w:vAlign w:val="center"/>
          </w:tcPr>
          <w:p w14:paraId="4E897335">
            <w:pPr>
              <w:pStyle w:val="10"/>
              <w:widowControl/>
              <w:shd w:val="clear" w:color="auto" w:fill="FFFFFF"/>
              <w:spacing w:beforeAutospacing="0" w:afterAutospacing="0" w:line="300" w:lineRule="exact"/>
              <w:ind w:right="20" w:rightChars="9"/>
              <w:jc w:val="center"/>
              <w:rPr>
                <w:rFonts w:ascii="仿宋_GB2312" w:hAnsi="仿宋_GB2312" w:eastAsia="仿宋_GB2312" w:cs="仿宋_GB2312"/>
                <w:szCs w:val="24"/>
              </w:rPr>
            </w:pPr>
            <w:r>
              <w:rPr>
                <w:rFonts w:hint="eastAsia" w:ascii="仿宋_GB2312" w:hAnsi="仿宋_GB2312" w:eastAsia="仿宋_GB2312" w:cs="仿宋_GB2312"/>
                <w:szCs w:val="24"/>
              </w:rPr>
              <w:t>品目预算(元）</w:t>
            </w:r>
          </w:p>
        </w:tc>
        <w:tc>
          <w:tcPr>
            <w:tcW w:w="776" w:type="dxa"/>
            <w:vAlign w:val="center"/>
          </w:tcPr>
          <w:p w14:paraId="4035B06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14:paraId="6685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23" w:type="dxa"/>
            <w:vMerge w:val="restart"/>
            <w:vAlign w:val="center"/>
          </w:tcPr>
          <w:p w14:paraId="78861531">
            <w:pPr>
              <w:pStyle w:val="10"/>
              <w:shd w:val="clear" w:color="auto" w:fill="FFFFFF"/>
              <w:spacing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p>
        </w:tc>
        <w:tc>
          <w:tcPr>
            <w:tcW w:w="2422" w:type="dxa"/>
            <w:shd w:val="clear" w:color="auto" w:fill="auto"/>
            <w:vAlign w:val="center"/>
          </w:tcPr>
          <w:p w14:paraId="3E9238D0">
            <w:pPr>
              <w:pStyle w:val="10"/>
              <w:widowControl/>
              <w:shd w:val="clear" w:color="auto" w:fill="FFFFFF"/>
              <w:spacing w:beforeAutospacing="0" w:afterAutospacing="0" w:line="300" w:lineRule="exact"/>
              <w:jc w:val="both"/>
              <w:rPr>
                <w:rFonts w:ascii="仿宋_GB2312" w:hAnsi="仿宋_GB2312" w:eastAsia="仿宋_GB2312" w:cs="仿宋_GB2312"/>
                <w:szCs w:val="24"/>
              </w:rPr>
            </w:pPr>
            <w:r>
              <w:rPr>
                <w:rFonts w:hint="eastAsia" w:ascii="仿宋_GB2312" w:hAnsi="仿宋_GB2312" w:eastAsia="仿宋_GB2312" w:cs="仿宋_GB2312"/>
                <w:lang w:eastAsia="zh-CN"/>
              </w:rPr>
              <w:t>心理</w:t>
            </w:r>
            <w:r>
              <w:rPr>
                <w:rFonts w:hint="eastAsia" w:ascii="仿宋_GB2312" w:hAnsi="仿宋_GB2312" w:eastAsia="仿宋_GB2312" w:cs="仿宋_GB2312"/>
              </w:rPr>
              <w:t>测量与认知评估系统</w:t>
            </w:r>
          </w:p>
        </w:tc>
        <w:tc>
          <w:tcPr>
            <w:tcW w:w="1282" w:type="dxa"/>
            <w:shd w:val="clear" w:color="auto" w:fill="auto"/>
            <w:vAlign w:val="center"/>
          </w:tcPr>
          <w:p w14:paraId="4AD0234F">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1</w:t>
            </w:r>
            <w:r>
              <w:rPr>
                <w:rFonts w:hint="eastAsia" w:ascii="仿宋_GB2312" w:hAnsi="仿宋_GB2312" w:eastAsia="仿宋_GB2312" w:cs="仿宋_GB2312"/>
              </w:rPr>
              <w:t>套</w:t>
            </w:r>
          </w:p>
        </w:tc>
        <w:tc>
          <w:tcPr>
            <w:tcW w:w="1623" w:type="dxa"/>
            <w:vMerge w:val="restart"/>
            <w:shd w:val="clear" w:color="auto" w:fill="auto"/>
            <w:vAlign w:val="center"/>
          </w:tcPr>
          <w:p w14:paraId="35FF2B17">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详见招标文件</w:t>
            </w:r>
          </w:p>
        </w:tc>
        <w:tc>
          <w:tcPr>
            <w:tcW w:w="1459" w:type="dxa"/>
            <w:vMerge w:val="restart"/>
            <w:shd w:val="clear" w:color="auto" w:fill="auto"/>
            <w:vAlign w:val="center"/>
          </w:tcPr>
          <w:p w14:paraId="0048A4A0">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szCs w:val="24"/>
              </w:rPr>
              <w:t>600000</w:t>
            </w:r>
          </w:p>
        </w:tc>
        <w:tc>
          <w:tcPr>
            <w:tcW w:w="776" w:type="dxa"/>
            <w:vMerge w:val="restart"/>
            <w:shd w:val="clear" w:color="auto" w:fill="auto"/>
            <w:vAlign w:val="center"/>
          </w:tcPr>
          <w:p w14:paraId="7713051F">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r>
      <w:tr w14:paraId="161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23" w:type="dxa"/>
            <w:vMerge w:val="continue"/>
            <w:vAlign w:val="center"/>
          </w:tcPr>
          <w:p w14:paraId="515D9C9A">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2422" w:type="dxa"/>
            <w:shd w:val="clear" w:color="auto" w:fill="auto"/>
            <w:vAlign w:val="center"/>
          </w:tcPr>
          <w:p w14:paraId="602C6DE4">
            <w:pPr>
              <w:pStyle w:val="10"/>
              <w:widowControl/>
              <w:shd w:val="clear" w:color="auto" w:fill="FFFFFF"/>
              <w:spacing w:beforeAutospacing="0" w:afterAutospacing="0" w:line="300" w:lineRule="exact"/>
              <w:jc w:val="both"/>
              <w:rPr>
                <w:rFonts w:ascii="仿宋_GB2312" w:hAnsi="仿宋_GB2312" w:eastAsia="仿宋_GB2312" w:cs="仿宋_GB2312"/>
                <w:szCs w:val="24"/>
              </w:rPr>
            </w:pPr>
            <w:r>
              <w:rPr>
                <w:rFonts w:hint="eastAsia" w:ascii="仿宋_GB2312" w:hAnsi="仿宋_GB2312" w:eastAsia="仿宋_GB2312" w:cs="仿宋_GB2312"/>
              </w:rPr>
              <w:t>经颅磁刺激仪</w:t>
            </w:r>
          </w:p>
        </w:tc>
        <w:tc>
          <w:tcPr>
            <w:tcW w:w="1282" w:type="dxa"/>
            <w:shd w:val="clear" w:color="auto" w:fill="auto"/>
            <w:vAlign w:val="center"/>
          </w:tcPr>
          <w:p w14:paraId="6CFA86D5">
            <w:pPr>
              <w:pStyle w:val="10"/>
              <w:widowControl/>
              <w:shd w:val="clear" w:color="auto" w:fill="FFFFFF"/>
              <w:spacing w:beforeAutospacing="0" w:afterAutospacing="0" w:line="300" w:lineRule="exact"/>
              <w:jc w:val="center"/>
              <w:rPr>
                <w:rFonts w:ascii="仿宋_GB2312" w:hAnsi="仿宋_GB2312" w:eastAsia="仿宋_GB2312" w:cs="仿宋_GB2312"/>
                <w:szCs w:val="24"/>
              </w:rPr>
            </w:pPr>
            <w:r>
              <w:rPr>
                <w:rFonts w:hint="eastAsia" w:ascii="仿宋_GB2312" w:hAnsi="仿宋_GB2312" w:eastAsia="仿宋_GB2312" w:cs="仿宋_GB2312"/>
              </w:rPr>
              <w:t>1台</w:t>
            </w:r>
          </w:p>
        </w:tc>
        <w:tc>
          <w:tcPr>
            <w:tcW w:w="1623" w:type="dxa"/>
            <w:vMerge w:val="continue"/>
            <w:shd w:val="clear" w:color="auto" w:fill="auto"/>
            <w:vAlign w:val="center"/>
          </w:tcPr>
          <w:p w14:paraId="2DA3DAD3">
            <w:pPr>
              <w:pStyle w:val="10"/>
              <w:widowControl/>
              <w:shd w:val="clear" w:color="auto" w:fill="FFFFFF"/>
              <w:spacing w:beforeAutospacing="0" w:afterAutospacing="0" w:line="300" w:lineRule="exact"/>
              <w:jc w:val="both"/>
              <w:rPr>
                <w:rFonts w:ascii="仿宋_GB2312" w:hAnsi="仿宋_GB2312" w:eastAsia="仿宋_GB2312" w:cs="仿宋_GB2312"/>
                <w:szCs w:val="24"/>
              </w:rPr>
            </w:pPr>
          </w:p>
        </w:tc>
        <w:tc>
          <w:tcPr>
            <w:tcW w:w="1459" w:type="dxa"/>
            <w:vMerge w:val="continue"/>
            <w:shd w:val="clear" w:color="auto" w:fill="auto"/>
            <w:vAlign w:val="center"/>
          </w:tcPr>
          <w:p w14:paraId="521FE636">
            <w:pPr>
              <w:pStyle w:val="10"/>
              <w:widowControl/>
              <w:shd w:val="clear" w:color="auto" w:fill="FFFFFF"/>
              <w:spacing w:beforeAutospacing="0" w:afterAutospacing="0" w:line="300" w:lineRule="exact"/>
              <w:jc w:val="center"/>
              <w:rPr>
                <w:rFonts w:ascii="仿宋_GB2312" w:hAnsi="仿宋_GB2312" w:eastAsia="仿宋_GB2312" w:cs="仿宋_GB2312"/>
                <w:szCs w:val="24"/>
              </w:rPr>
            </w:pPr>
          </w:p>
        </w:tc>
        <w:tc>
          <w:tcPr>
            <w:tcW w:w="776" w:type="dxa"/>
            <w:vMerge w:val="continue"/>
            <w:shd w:val="clear" w:color="auto" w:fill="auto"/>
            <w:vAlign w:val="center"/>
          </w:tcPr>
          <w:p w14:paraId="40F660CC">
            <w:pPr>
              <w:pStyle w:val="10"/>
              <w:widowControl/>
              <w:shd w:val="clear" w:color="auto" w:fill="FFFFFF"/>
              <w:spacing w:beforeAutospacing="0" w:afterAutospacing="0" w:line="300" w:lineRule="exact"/>
              <w:jc w:val="right"/>
              <w:rPr>
                <w:rFonts w:ascii="仿宋_GB2312" w:hAnsi="仿宋_GB2312" w:eastAsia="仿宋_GB2312" w:cs="仿宋_GB2312"/>
                <w:szCs w:val="24"/>
              </w:rPr>
            </w:pPr>
          </w:p>
        </w:tc>
      </w:tr>
    </w:tbl>
    <w:p w14:paraId="5A248C2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二、投标人资格要求</w:t>
      </w:r>
    </w:p>
    <w:p w14:paraId="73084CA5">
      <w:pPr>
        <w:pStyle w:val="10"/>
        <w:widowControl/>
        <w:shd w:val="clear" w:color="auto" w:fill="FFFFFF"/>
        <w:spacing w:beforeAutospacing="0" w:afterAutospacing="0"/>
        <w:ind w:firstLine="482"/>
        <w:jc w:val="both"/>
        <w:rPr>
          <w:rFonts w:ascii="楷体_GB2312" w:hAnsi="楷体_GB2312" w:eastAsia="楷体_GB2312" w:cs="楷体_GB2312"/>
          <w:szCs w:val="24"/>
        </w:rPr>
      </w:pPr>
      <w:r>
        <w:rPr>
          <w:rFonts w:hint="eastAsia" w:ascii="楷体_GB2312" w:hAnsi="楷体_GB2312" w:eastAsia="楷体_GB2312" w:cs="楷体_GB2312"/>
          <w:szCs w:val="24"/>
        </w:rPr>
        <w:t>（一）满足《中华人民共和国政府采购法》第二十二条规定：</w:t>
      </w:r>
    </w:p>
    <w:p w14:paraId="01EAA12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（1）具有独立承担民事责任的能力：审查投标人营业执照等证明文件或者身份证明。</w:t>
      </w:r>
    </w:p>
    <w:p w14:paraId="737B7773">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（2）法定代表人授权委托书、法定代表人身份证复印件、被授权人身份证复印件及联系方式；</w:t>
      </w:r>
    </w:p>
    <w:p w14:paraId="4D4DF90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（3）具有良好的商业信誉和健全的财务会计制度：投标商需提供2025年度经审计的审计报告或近一年内基本户开户行出具的银行资信证明</w:t>
      </w:r>
    </w:p>
    <w:p w14:paraId="1F39A8B2">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（4）有依法缴纳税收和社会保障资金的良好记录：1.提供递交投标文件截止之日前一年内（至少连续三个月）的良好缴纳税收的相关凭据。（以税务机关 提供的纳税凭据或银行入账单为准）；2.提供递交响应文件截止之日前一年内（至少连续三个月）缴纳社会保险的凭证。（以专用收据或社会保险缴纳清单为准）。依法免税或不需要缴纳社会保障资金的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p w14:paraId="7A983ED9">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（5）具有履行合同所必须的设备和专业技术能力：审查投标人提供的具有履行合同所必需的设备和专业技术能力的证明材料（提供书面声明）</w:t>
      </w:r>
    </w:p>
    <w:p w14:paraId="0F7195DF">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（6）参加采购活动前3年内，在经营活动中没有重大违法记</w:t>
      </w:r>
      <w:r>
        <w:rPr>
          <w:rFonts w:hint="eastAsia" w:ascii="仿宋_GB2312" w:hAnsi="仿宋_GB2312" w:eastAsia="仿宋_GB2312" w:cs="仿宋_GB2312"/>
          <w:w w:val="101"/>
          <w:szCs w:val="24"/>
        </w:rPr>
        <w:t>录：</w:t>
      </w:r>
      <w:r>
        <w:rPr>
          <w:rFonts w:hint="eastAsia" w:ascii="仿宋_GB2312" w:hAnsi="仿宋_GB2312" w:eastAsia="仿宋_GB2312" w:cs="仿宋_GB2312"/>
          <w:szCs w:val="24"/>
        </w:rPr>
        <w:t xml:space="preserve">审查供应商参加本次采购活动前3年内在经营活动中没有重大违法记录的书面声明。 </w:t>
      </w:r>
    </w:p>
    <w:p w14:paraId="0E9E71CB">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（7）信用记录：资格审查时，供应商未被列入失信被执行人、税收违法黑名单、政府采购严重违法失信行为记录名单。</w:t>
      </w:r>
    </w:p>
    <w:p w14:paraId="63234D5A">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（8）法律、行政法规规定的其他条件。</w:t>
      </w:r>
    </w:p>
    <w:p w14:paraId="0AC8C227">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楷体_GB2312" w:hAnsi="楷体_GB2312" w:eastAsia="楷体_GB2312" w:cs="楷体_GB2312"/>
          <w:szCs w:val="24"/>
        </w:rPr>
        <w:t>（二）特定资格要求</w:t>
      </w:r>
    </w:p>
    <w:p w14:paraId="2AC97DA4">
      <w:pPr>
        <w:pStyle w:val="10"/>
        <w:widowControl/>
        <w:shd w:val="clear" w:color="auto" w:fill="FFFFFF"/>
        <w:spacing w:beforeAutospacing="0" w:afterAutospacing="0"/>
        <w:ind w:firstLine="482"/>
        <w:jc w:val="both"/>
        <w:rPr>
          <w:rFonts w:ascii="仿宋_GB2312" w:hAnsi="仿宋_GB2312" w:eastAsia="仿宋_GB2312" w:cs="仿宋_GB2312"/>
          <w:szCs w:val="24"/>
        </w:rPr>
      </w:pPr>
      <w:r>
        <w:rPr>
          <w:rFonts w:hint="eastAsia" w:ascii="仿宋_GB2312" w:hAnsi="仿宋_GB2312" w:eastAsia="仿宋_GB2312" w:cs="仿宋_GB2312"/>
          <w:szCs w:val="24"/>
        </w:rPr>
        <w:t>供应商为生产厂商的须提供《医疗器械生产许可证》（或《医疗器械生产备案凭证》）和《医疗器械经营许可证》（或《医疗器械经营备案凭证》）；供应商为代理商的须提供《医疗器械经营许可证》或《医疗器械经营备案凭证》。</w:t>
      </w:r>
    </w:p>
    <w:p w14:paraId="01DE954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三、竞争性谈判通知书的获取</w:t>
      </w:r>
    </w:p>
    <w:p w14:paraId="182A5F21">
      <w:pPr>
        <w:pStyle w:val="10"/>
        <w:widowControl/>
        <w:shd w:val="clear" w:color="auto" w:fill="FFFFFF"/>
        <w:autoSpaceDE/>
        <w:autoSpaceDN/>
        <w:spacing w:beforeAutospacing="0" w:afterAutospacing="0"/>
        <w:ind w:firstLine="480"/>
        <w:jc w:val="both"/>
        <w:rPr>
          <w:rFonts w:ascii="仿宋_GB2312" w:hAnsi="仿宋_GB2312" w:eastAsia="仿宋_GB2312" w:cs="仿宋_GB2312"/>
          <w:color w:val="FF0000"/>
          <w:w w:val="95"/>
          <w:szCs w:val="24"/>
        </w:rPr>
      </w:pPr>
      <w:r>
        <w:rPr>
          <w:rFonts w:hint="eastAsia" w:ascii="仿宋_GB2312" w:hAnsi="仿宋_GB2312" w:eastAsia="仿宋_GB2312" w:cs="仿宋_GB2312"/>
          <w:color w:val="FF0000"/>
          <w:w w:val="95"/>
          <w:szCs w:val="24"/>
        </w:rPr>
        <w:t>时间：2026年5月</w:t>
      </w:r>
      <w:r>
        <w:rPr>
          <w:rFonts w:hint="eastAsia" w:ascii="仿宋_GB2312" w:hAnsi="仿宋_GB2312" w:eastAsia="仿宋_GB2312" w:cs="仿宋_GB2312"/>
          <w:color w:val="FF0000"/>
          <w:w w:val="95"/>
          <w:szCs w:val="24"/>
          <w:lang w:val="en-US" w:eastAsia="zh-CN"/>
        </w:rPr>
        <w:t>20</w:t>
      </w:r>
      <w:r>
        <w:rPr>
          <w:rFonts w:hint="eastAsia" w:ascii="仿宋_GB2312" w:hAnsi="仿宋_GB2312" w:eastAsia="仿宋_GB2312" w:cs="仿宋_GB2312"/>
          <w:color w:val="FF0000"/>
          <w:w w:val="95"/>
          <w:szCs w:val="24"/>
        </w:rPr>
        <w:t>日-2026年5月</w:t>
      </w:r>
      <w:r>
        <w:rPr>
          <w:rFonts w:hint="eastAsia" w:ascii="仿宋_GB2312" w:hAnsi="仿宋_GB2312" w:eastAsia="仿宋_GB2312" w:cs="仿宋_GB2312"/>
          <w:color w:val="FF0000"/>
          <w:w w:val="95"/>
          <w:szCs w:val="24"/>
          <w:lang w:val="en-US" w:eastAsia="zh-CN"/>
        </w:rPr>
        <w:t>25</w:t>
      </w:r>
      <w:r>
        <w:rPr>
          <w:rFonts w:hint="eastAsia" w:ascii="仿宋_GB2312" w:hAnsi="仿宋_GB2312" w:eastAsia="仿宋_GB2312" w:cs="仿宋_GB2312"/>
          <w:color w:val="FF0000"/>
          <w:w w:val="95"/>
          <w:szCs w:val="24"/>
        </w:rPr>
        <w:t>日，每天上午 00:00:00 至 12:00:00 ，下午 12:00:00 至 23:59:59 （北京时间）</w:t>
      </w:r>
    </w:p>
    <w:p w14:paraId="7E3F6050">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地点：巴彦淖尔市医院官网</w:t>
      </w:r>
    </w:p>
    <w:p w14:paraId="6DCC5F28">
      <w:pPr>
        <w:pStyle w:val="10"/>
        <w:widowControl/>
        <w:shd w:val="clear" w:color="auto" w:fill="FFFFFF"/>
        <w:autoSpaceDE/>
        <w:autoSpaceDN/>
        <w:spacing w:beforeAutospacing="0" w:afterAutospacing="0"/>
        <w:ind w:firstLine="480"/>
        <w:jc w:val="both"/>
        <w:rPr>
          <w:rFonts w:ascii="仿宋_GB2312" w:hAnsi="仿宋_GB2312" w:eastAsia="仿宋_GB2312" w:cs="仿宋_GB2312"/>
          <w:szCs w:val="24"/>
        </w:rPr>
      </w:pPr>
      <w:r>
        <w:rPr>
          <w:rFonts w:hint="eastAsia" w:ascii="仿宋_GB2312" w:hAnsi="仿宋_GB2312" w:eastAsia="仿宋_GB2312" w:cs="仿宋_GB2312"/>
          <w:szCs w:val="24"/>
        </w:rPr>
        <w:t>方式：巴彦淖尔市医院官网下载</w:t>
      </w:r>
    </w:p>
    <w:p w14:paraId="3E03D72F">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四、报名文件提交</w:t>
      </w:r>
    </w:p>
    <w:p w14:paraId="7FD6AE6A">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报名截止时间：2026年5月</w:t>
      </w:r>
      <w:r>
        <w:rPr>
          <w:rFonts w:hint="eastAsia" w:ascii="仿宋_GB2312" w:hAnsi="仿宋_GB2312" w:eastAsia="仿宋_GB2312" w:cs="仿宋_GB2312"/>
          <w:color w:val="FF0000"/>
          <w:sz w:val="24"/>
          <w:szCs w:val="24"/>
          <w:lang w:val="en-US" w:eastAsia="zh-CN"/>
        </w:rPr>
        <w:t>25</w:t>
      </w:r>
      <w:r>
        <w:rPr>
          <w:rFonts w:hint="eastAsia" w:ascii="仿宋_GB2312" w:hAnsi="仿宋_GB2312" w:eastAsia="仿宋_GB2312" w:cs="仿宋_GB2312"/>
          <w:color w:val="FF0000"/>
          <w:sz w:val="24"/>
          <w:szCs w:val="24"/>
          <w:lang w:eastAsia="zh-CN"/>
        </w:rPr>
        <w:t>日18时00分</w:t>
      </w:r>
    </w:p>
    <w:p w14:paraId="6241788E">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地点：内蒙古巴彦淖尔市临河区乌兰布和路98号</w:t>
      </w:r>
    </w:p>
    <w:p w14:paraId="212836DF">
      <w:pPr>
        <w:pStyle w:val="7"/>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报名方式：报名资料纸质版送达至巴彦淖尔市医院门诊楼4楼招标采购办公室</w:t>
      </w:r>
    </w:p>
    <w:p w14:paraId="0AB0EE26">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五、开启</w:t>
      </w:r>
    </w:p>
    <w:p w14:paraId="560B840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时间：2026年</w:t>
      </w:r>
      <w:r>
        <w:rPr>
          <w:rFonts w:hint="eastAsia" w:ascii="仿宋_GB2312" w:hAnsi="仿宋_GB2312" w:eastAsia="仿宋_GB2312" w:cs="仿宋_GB2312"/>
          <w:color w:val="FF0000"/>
          <w:sz w:val="24"/>
          <w:szCs w:val="24"/>
          <w:lang w:val="en-US" w:eastAsia="zh-CN"/>
        </w:rPr>
        <w:t>6</w:t>
      </w:r>
      <w:r>
        <w:rPr>
          <w:rFonts w:hint="eastAsia" w:ascii="仿宋_GB2312" w:hAnsi="仿宋_GB2312" w:eastAsia="仿宋_GB2312" w:cs="仿宋_GB2312"/>
          <w:color w:val="FF0000"/>
          <w:sz w:val="24"/>
          <w:szCs w:val="24"/>
          <w:lang w:eastAsia="zh-CN"/>
        </w:rPr>
        <w:t>月</w:t>
      </w:r>
      <w:r>
        <w:rPr>
          <w:rFonts w:hint="eastAsia" w:ascii="仿宋_GB2312" w:hAnsi="仿宋_GB2312" w:eastAsia="仿宋_GB2312" w:cs="仿宋_GB2312"/>
          <w:color w:val="FF0000"/>
          <w:sz w:val="24"/>
          <w:szCs w:val="24"/>
          <w:lang w:val="en-US" w:eastAsia="zh-CN"/>
        </w:rPr>
        <w:t>1</w:t>
      </w:r>
      <w:r>
        <w:rPr>
          <w:rFonts w:hint="eastAsia" w:ascii="仿宋_GB2312" w:hAnsi="仿宋_GB2312" w:eastAsia="仿宋_GB2312" w:cs="仿宋_GB2312"/>
          <w:color w:val="FF0000"/>
          <w:sz w:val="24"/>
          <w:szCs w:val="24"/>
          <w:lang w:eastAsia="zh-CN"/>
        </w:rPr>
        <w:t>日15时30分</w:t>
      </w:r>
    </w:p>
    <w:p w14:paraId="75F362A1">
      <w:pPr>
        <w:autoSpaceDE/>
        <w:autoSpaceDN/>
        <w:ind w:firstLine="480" w:firstLineChars="200"/>
        <w:jc w:val="both"/>
        <w:rPr>
          <w:rFonts w:ascii="仿宋_GB2312" w:hAnsi="仿宋_GB2312" w:eastAsia="仿宋_GB2312" w:cs="仿宋_GB2312"/>
          <w:color w:val="FF0000"/>
          <w:sz w:val="24"/>
          <w:szCs w:val="24"/>
          <w:lang w:eastAsia="zh-CN"/>
        </w:rPr>
      </w:pPr>
      <w:r>
        <w:rPr>
          <w:rFonts w:hint="eastAsia" w:ascii="仿宋_GB2312" w:hAnsi="仿宋_GB2312" w:eastAsia="仿宋_GB2312" w:cs="仿宋_GB2312"/>
          <w:color w:val="FF0000"/>
          <w:sz w:val="24"/>
          <w:szCs w:val="24"/>
          <w:lang w:eastAsia="zh-CN"/>
        </w:rPr>
        <w:t>地点：巴彦淖尔市医院门诊楼5楼信息工程科会议室</w:t>
      </w:r>
    </w:p>
    <w:p w14:paraId="4B9DB67F">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公告期限：自本公告发布之日起3个工作日</w:t>
      </w:r>
    </w:p>
    <w:p w14:paraId="051A1233">
      <w:pPr>
        <w:autoSpaceDE/>
        <w:autoSpaceDN/>
        <w:jc w:val="both"/>
        <w:rPr>
          <w:rFonts w:ascii="黑体" w:hAnsi="黑体" w:eastAsia="黑体" w:cs="黑体"/>
          <w:b/>
          <w:bCs/>
          <w:sz w:val="24"/>
          <w:szCs w:val="24"/>
          <w:lang w:eastAsia="zh-CN"/>
        </w:rPr>
      </w:pPr>
      <w:r>
        <w:rPr>
          <w:rFonts w:hint="eastAsia" w:ascii="黑体" w:hAnsi="黑体" w:eastAsia="黑体" w:cs="黑体"/>
          <w:b/>
          <w:bCs/>
          <w:sz w:val="24"/>
          <w:szCs w:val="24"/>
          <w:lang w:eastAsia="zh-CN"/>
        </w:rPr>
        <w:t>六、凡对本次采购提出询问，请按以下方式联系。</w:t>
      </w:r>
    </w:p>
    <w:p w14:paraId="538A7B83">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采购人信息</w:t>
      </w:r>
    </w:p>
    <w:p w14:paraId="3D71B076">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名称：巴彦淖尔市医院招标采购办公室</w:t>
      </w:r>
      <w:bookmarkStart w:id="2" w:name="_GoBack"/>
      <w:bookmarkEnd w:id="2"/>
    </w:p>
    <w:p w14:paraId="2AC43FE8">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地址：临河区乌兰布和路98号</w:t>
      </w:r>
    </w:p>
    <w:p w14:paraId="319F4614">
      <w:pPr>
        <w:autoSpaceDE/>
        <w:autoSpaceDN/>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联系方式：17604788561</w:t>
      </w:r>
    </w:p>
    <w:p w14:paraId="02DA94AF">
      <w:pPr>
        <w:pStyle w:val="7"/>
        <w:rPr>
          <w:rFonts w:ascii="仿宋_GB2312" w:hAnsi="仿宋_GB2312" w:eastAsia="仿宋_GB2312" w:cs="仿宋_GB2312"/>
          <w:sz w:val="24"/>
          <w:szCs w:val="24"/>
          <w:lang w:eastAsia="zh-CN"/>
        </w:rPr>
      </w:pPr>
    </w:p>
    <w:p w14:paraId="4F9E6C9F">
      <w:pPr>
        <w:pStyle w:val="2"/>
        <w:jc w:val="left"/>
        <w:rPr>
          <w:rFonts w:ascii="仿宋_GB2312" w:hAnsi="仿宋_GB2312" w:eastAsia="仿宋_GB2312" w:cs="仿宋_GB2312"/>
          <w:b w:val="0"/>
          <w:bCs w:val="0"/>
          <w:sz w:val="24"/>
          <w:szCs w:val="24"/>
          <w:lang w:eastAsia="zh-CN"/>
        </w:rPr>
      </w:pPr>
    </w:p>
    <w:p w14:paraId="1D9C2E8C">
      <w:pPr>
        <w:spacing w:before="76" w:line="300" w:lineRule="exact"/>
        <w:ind w:left="100" w:right="220"/>
        <w:jc w:val="center"/>
        <w:rPr>
          <w:rFonts w:ascii="仿宋_GB2312" w:hAnsi="仿宋_GB2312" w:eastAsia="仿宋_GB2312" w:cs="仿宋_GB2312"/>
          <w:b/>
          <w:sz w:val="32"/>
          <w:szCs w:val="32"/>
          <w:lang w:eastAsia="zh-CN"/>
        </w:rPr>
      </w:pPr>
    </w:p>
    <w:p w14:paraId="7749051B">
      <w:pPr>
        <w:widowControl/>
        <w:autoSpaceDE/>
        <w:autoSpaceDN/>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br w:type="page"/>
      </w:r>
    </w:p>
    <w:p w14:paraId="0C747C8A">
      <w:pPr>
        <w:spacing w:before="76"/>
        <w:ind w:left="102" w:right="221"/>
        <w:jc w:val="center"/>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第二章供应商须知</w:t>
      </w:r>
    </w:p>
    <w:p w14:paraId="4273E3A0">
      <w:pPr>
        <w:pStyle w:val="3"/>
        <w:spacing w:before="23"/>
        <w:ind w:left="532"/>
        <w:rPr>
          <w:rFonts w:ascii="黑体" w:hAnsi="黑体" w:eastAsia="黑体" w:cs="黑体"/>
          <w:sz w:val="24"/>
          <w:szCs w:val="24"/>
          <w:lang w:eastAsia="zh-CN"/>
        </w:rPr>
      </w:pPr>
      <w:r>
        <w:rPr>
          <w:rFonts w:hint="eastAsia" w:ascii="黑体" w:hAnsi="黑体" w:eastAsia="黑体" w:cs="黑体"/>
          <w:w w:val="115"/>
          <w:sz w:val="24"/>
          <w:szCs w:val="24"/>
          <w:lang w:eastAsia="zh-CN"/>
        </w:rPr>
        <w:t>一.前附表</w:t>
      </w:r>
    </w:p>
    <w:tbl>
      <w:tblPr>
        <w:tblStyle w:val="11"/>
        <w:tblW w:w="833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33DE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627" w:type="dxa"/>
            <w:vAlign w:val="center"/>
          </w:tcPr>
          <w:p w14:paraId="6B909EA5">
            <w:pPr>
              <w:pStyle w:val="18"/>
              <w:jc w:val="both"/>
              <w:rPr>
                <w:rFonts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vAlign w:val="center"/>
          </w:tcPr>
          <w:p w14:paraId="7AB7C1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vAlign w:val="center"/>
          </w:tcPr>
          <w:p w14:paraId="3CAC2EE8">
            <w:pPr>
              <w:pStyle w:val="18"/>
              <w:tabs>
                <w:tab w:val="left" w:pos="3520"/>
              </w:tabs>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6B391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205110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vAlign w:val="center"/>
          </w:tcPr>
          <w:p w14:paraId="76967B4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vAlign w:val="center"/>
          </w:tcPr>
          <w:p w14:paraId="68C95FC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包</w:t>
            </w:r>
          </w:p>
        </w:tc>
      </w:tr>
      <w:tr w14:paraId="0073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435678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vAlign w:val="center"/>
          </w:tcPr>
          <w:p w14:paraId="578979A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vAlign w:val="center"/>
          </w:tcPr>
          <w:p w14:paraId="630A9E0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5FAA7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jc w:val="center"/>
        </w:trPr>
        <w:tc>
          <w:tcPr>
            <w:tcW w:w="627" w:type="dxa"/>
            <w:vAlign w:val="center"/>
          </w:tcPr>
          <w:p w14:paraId="0A001A68">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vAlign w:val="center"/>
          </w:tcPr>
          <w:p w14:paraId="2463ACE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vAlign w:val="center"/>
          </w:tcPr>
          <w:p w14:paraId="638834E6">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根据质量和服务均能满足采购文件实质性响应要求且最后报价最低的原则确定成交供应商。</w:t>
            </w:r>
          </w:p>
        </w:tc>
      </w:tr>
      <w:tr w14:paraId="0CCB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3C38B95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vAlign w:val="center"/>
          </w:tcPr>
          <w:p w14:paraId="4D4362DE">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vAlign w:val="center"/>
          </w:tcPr>
          <w:p w14:paraId="69FD64A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现场开标</w:t>
            </w:r>
          </w:p>
        </w:tc>
      </w:tr>
      <w:tr w14:paraId="4F934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49FEBACB">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vAlign w:val="center"/>
          </w:tcPr>
          <w:p w14:paraId="0B04475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vAlign w:val="center"/>
          </w:tcPr>
          <w:p w14:paraId="5E0A4969">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0195B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627" w:type="dxa"/>
            <w:vAlign w:val="center"/>
          </w:tcPr>
          <w:p w14:paraId="584AECBD">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vAlign w:val="center"/>
          </w:tcPr>
          <w:p w14:paraId="6BE7B194">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获取竞争性谈判通知书时间</w:t>
            </w:r>
          </w:p>
        </w:tc>
        <w:tc>
          <w:tcPr>
            <w:tcW w:w="5823" w:type="dxa"/>
            <w:vAlign w:val="center"/>
          </w:tcPr>
          <w:p w14:paraId="7738E37B">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2B9A8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ADF1B5D">
            <w:pPr>
              <w:pStyle w:val="18"/>
              <w:jc w:val="both"/>
              <w:rPr>
                <w:rFonts w:ascii="仿宋_GB2312" w:hAnsi="仿宋_GB2312" w:eastAsia="仿宋_GB2312" w:cs="仿宋_GB2312"/>
                <w:b/>
                <w:sz w:val="24"/>
                <w:szCs w:val="24"/>
              </w:rPr>
            </w:pPr>
          </w:p>
          <w:p w14:paraId="1540E9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7</w:t>
            </w:r>
          </w:p>
        </w:tc>
        <w:tc>
          <w:tcPr>
            <w:tcW w:w="1882" w:type="dxa"/>
            <w:vAlign w:val="center"/>
          </w:tcPr>
          <w:p w14:paraId="1C82C22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保证金缴纳截止时间（同响应文件提交截止时间）</w:t>
            </w:r>
          </w:p>
        </w:tc>
        <w:tc>
          <w:tcPr>
            <w:tcW w:w="5823" w:type="dxa"/>
            <w:vAlign w:val="center"/>
          </w:tcPr>
          <w:p w14:paraId="55A7114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不需缴纳</w:t>
            </w:r>
          </w:p>
        </w:tc>
      </w:tr>
      <w:tr w14:paraId="0A5DE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627" w:type="dxa"/>
            <w:vAlign w:val="center"/>
          </w:tcPr>
          <w:p w14:paraId="69F3359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8</w:t>
            </w:r>
          </w:p>
        </w:tc>
        <w:tc>
          <w:tcPr>
            <w:tcW w:w="1882" w:type="dxa"/>
            <w:vAlign w:val="center"/>
          </w:tcPr>
          <w:p w14:paraId="5DE40E96">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vAlign w:val="center"/>
          </w:tcPr>
          <w:p w14:paraId="0E2AD7B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无需上传</w:t>
            </w:r>
          </w:p>
        </w:tc>
      </w:tr>
      <w:tr w14:paraId="1D652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F8DD0AC">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9</w:t>
            </w:r>
          </w:p>
        </w:tc>
        <w:tc>
          <w:tcPr>
            <w:tcW w:w="1882" w:type="dxa"/>
            <w:vAlign w:val="center"/>
          </w:tcPr>
          <w:p w14:paraId="2F6E8E2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vAlign w:val="center"/>
          </w:tcPr>
          <w:p w14:paraId="7FF435A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提供加盖公章的纸质版响应文件1正2副，电子版U盘1份，响应文件应按下述规定装订：</w:t>
            </w:r>
          </w:p>
          <w:p w14:paraId="64CC4A6B">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（1）供应商应将响应文件按规定顺序牢固装订成册，并编制响应文件目录。</w:t>
            </w:r>
          </w:p>
          <w:p w14:paraId="6ABF234C">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（2）响应文件必须保证字迹图片等均清晰完整，响应文件副本可以是正本签字盖章后的复印件，U盘包括完整的响应文件。</w:t>
            </w:r>
          </w:p>
          <w:p w14:paraId="7119FB5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注：供应商可根据响应文件内容自行确定是否分册，若分册，应在响应文件封面上载明“共几册第几册”，书脊无要求</w:t>
            </w:r>
          </w:p>
        </w:tc>
      </w:tr>
      <w:tr w14:paraId="08690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jc w:val="center"/>
        </w:trPr>
        <w:tc>
          <w:tcPr>
            <w:tcW w:w="627" w:type="dxa"/>
            <w:vAlign w:val="center"/>
          </w:tcPr>
          <w:p w14:paraId="5560F109">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0</w:t>
            </w:r>
          </w:p>
        </w:tc>
        <w:tc>
          <w:tcPr>
            <w:tcW w:w="1882" w:type="dxa"/>
            <w:vAlign w:val="center"/>
          </w:tcPr>
          <w:p w14:paraId="171E8245">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vAlign w:val="center"/>
          </w:tcPr>
          <w:p w14:paraId="261DC5C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采购人按照评审报告中推荐的成交候选人确定中标（成交）人。</w:t>
            </w:r>
          </w:p>
        </w:tc>
      </w:tr>
      <w:tr w14:paraId="2F219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jc w:val="center"/>
        </w:trPr>
        <w:tc>
          <w:tcPr>
            <w:tcW w:w="627" w:type="dxa"/>
            <w:vAlign w:val="center"/>
          </w:tcPr>
          <w:p w14:paraId="19AF7DF7">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r>
              <w:rPr>
                <w:rFonts w:hint="eastAsia" w:ascii="仿宋_GB2312" w:hAnsi="仿宋_GB2312" w:eastAsia="仿宋_GB2312" w:cs="仿宋_GB2312"/>
                <w:w w:val="128"/>
                <w:sz w:val="24"/>
                <w:szCs w:val="24"/>
                <w:lang w:eastAsia="zh-CN"/>
              </w:rPr>
              <w:t>1</w:t>
            </w:r>
          </w:p>
        </w:tc>
        <w:tc>
          <w:tcPr>
            <w:tcW w:w="1882" w:type="dxa"/>
            <w:vAlign w:val="center"/>
          </w:tcPr>
          <w:p w14:paraId="5EE88461">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vAlign w:val="center"/>
          </w:tcPr>
          <w:p w14:paraId="676A63A8">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不接受</w:t>
            </w:r>
          </w:p>
        </w:tc>
      </w:tr>
      <w:tr w14:paraId="6248B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4E7CBA5E">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16</w:t>
            </w:r>
          </w:p>
        </w:tc>
        <w:tc>
          <w:tcPr>
            <w:tcW w:w="1882" w:type="dxa"/>
            <w:vAlign w:val="center"/>
          </w:tcPr>
          <w:p w14:paraId="706F726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是否专门面向中小企业采购</w:t>
            </w:r>
          </w:p>
        </w:tc>
        <w:tc>
          <w:tcPr>
            <w:tcW w:w="5823" w:type="dxa"/>
            <w:vAlign w:val="center"/>
          </w:tcPr>
          <w:p w14:paraId="0DA9916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采购包：不专门面向中小企业</w:t>
            </w:r>
          </w:p>
        </w:tc>
      </w:tr>
      <w:tr w14:paraId="080C1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627" w:type="dxa"/>
            <w:vAlign w:val="center"/>
          </w:tcPr>
          <w:p w14:paraId="744F5BF2">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17</w:t>
            </w:r>
          </w:p>
        </w:tc>
        <w:tc>
          <w:tcPr>
            <w:tcW w:w="1882" w:type="dxa"/>
            <w:vAlign w:val="center"/>
          </w:tcPr>
          <w:p w14:paraId="5CED772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vAlign w:val="center"/>
          </w:tcPr>
          <w:p w14:paraId="77B5AB21">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3家</w:t>
            </w:r>
          </w:p>
          <w:p w14:paraId="544AD04A">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此数约定了开标与评标过程中的最低有效供应商家数，当家数不足时项目将不得开标、评标或直接废标；文件中其他描述若与此规定矛盾以此为准。</w:t>
            </w:r>
          </w:p>
        </w:tc>
      </w:tr>
      <w:tr w14:paraId="68EE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426DD53F">
            <w:pPr>
              <w:pStyle w:val="18"/>
              <w:jc w:val="both"/>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18</w:t>
            </w:r>
          </w:p>
        </w:tc>
        <w:tc>
          <w:tcPr>
            <w:tcW w:w="1882" w:type="dxa"/>
            <w:vAlign w:val="center"/>
          </w:tcPr>
          <w:p w14:paraId="7CC9B780">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vAlign w:val="center"/>
          </w:tcPr>
          <w:p w14:paraId="27C11A0F">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9122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627" w:type="dxa"/>
            <w:vAlign w:val="center"/>
          </w:tcPr>
          <w:p w14:paraId="3CA9F0BA">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19</w:t>
            </w:r>
          </w:p>
        </w:tc>
        <w:tc>
          <w:tcPr>
            <w:tcW w:w="1882" w:type="dxa"/>
            <w:vAlign w:val="center"/>
          </w:tcPr>
          <w:p w14:paraId="057C1054">
            <w:pPr>
              <w:pStyle w:val="18"/>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vAlign w:val="center"/>
          </w:tcPr>
          <w:p w14:paraId="5854248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兼投不兼中</w:t>
            </w:r>
          </w:p>
          <w:p w14:paraId="3DA78ADD">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原件：本项目开标时不需携带原件，供应商必须对响应文件中的证明材料真实性负责，一经查实弄虚作假，废除中标（成交）资格，并追究相应责任。</w:t>
            </w:r>
          </w:p>
          <w:p w14:paraId="29EBE747">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密封：投标文件应密封包装、加贴封条，并在封套的封口处加盖投标单位章。</w:t>
            </w:r>
          </w:p>
          <w:p w14:paraId="316A6A8F">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封套上注明信息：</w:t>
            </w:r>
          </w:p>
          <w:p w14:paraId="47B1B982">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供应商名称： </w:t>
            </w:r>
          </w:p>
          <w:p w14:paraId="0F3E8C0E">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供应商地址：</w:t>
            </w:r>
          </w:p>
          <w:p w14:paraId="4B4B0FF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（项目名称）招标项目投标文件（原件/正本/副本/电子版）</w:t>
            </w:r>
          </w:p>
          <w:p w14:paraId="5615C7A5">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项目编号：</w:t>
            </w:r>
          </w:p>
          <w:p w14:paraId="33296643">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在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年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月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日 </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时前不得开启</w:t>
            </w:r>
          </w:p>
        </w:tc>
      </w:tr>
    </w:tbl>
    <w:p w14:paraId="6DE4E553">
      <w:pPr>
        <w:pStyle w:val="7"/>
        <w:spacing w:before="3"/>
        <w:rPr>
          <w:b/>
          <w:sz w:val="9"/>
          <w:lang w:eastAsia="zh-CN"/>
        </w:rPr>
      </w:pPr>
    </w:p>
    <w:p w14:paraId="29A0D16D">
      <w:pPr>
        <w:spacing w:before="24" w:line="300" w:lineRule="exact"/>
        <w:rPr>
          <w:rFonts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lang w:eastAsia="zh-CN"/>
        </w:rPr>
        <w:t>二、说明</w:t>
      </w:r>
    </w:p>
    <w:p w14:paraId="2BB88B0C">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（一）总则</w:t>
      </w:r>
    </w:p>
    <w:p w14:paraId="3F7C691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本竞争性谈判通知书参照《中华人民共和国政府采购法》《中华人民共和国政府采购法实施条例》和《政府采购非招标采购方式管理办法》（财政部令第74号）及国家和自治区有关法律、法规、规章制度编制。</w:t>
      </w:r>
    </w:p>
    <w:p w14:paraId="5B7FE3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供应商应仔细阅读本项目信息公告及竞争性谈判通知书的所有内容（包括澄清或者修改），按照竞争性谈判通知书要求以及格式编制响应文件，并保证其真实性，否则一切后果自负。</w:t>
      </w:r>
    </w:p>
    <w:p w14:paraId="2BCB4996">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（二）适用范围</w:t>
      </w:r>
    </w:p>
    <w:p w14:paraId="0D1358C2">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本竞争性谈判通知书仅适用于本次竞争性谈判公告中所涉及的项目和内容。</w:t>
      </w:r>
    </w:p>
    <w:p w14:paraId="756493F8">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（三）各参与方</w:t>
      </w:r>
    </w:p>
    <w:p w14:paraId="51687587">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采购人</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是指依法进行政府采购的国家机关、事业单位、团体组织。本竞争性谈判通知书的采购人特指巴彦淖尔市医院</w:t>
      </w:r>
      <w:r>
        <w:rPr>
          <w:rFonts w:hint="eastAsia" w:ascii="仿宋_GB2312" w:hAnsi="仿宋_GB2312" w:eastAsia="仿宋_GB2312" w:cs="仿宋_GB2312"/>
          <w:sz w:val="24"/>
          <w:szCs w:val="24"/>
          <w:lang w:eastAsia="zh-CN"/>
        </w:rPr>
        <w:t>。</w:t>
      </w:r>
    </w:p>
    <w:p w14:paraId="25D02F4E">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是指向采购人提供货物、工程或者服务的法人、其他组织或者自然人。</w:t>
      </w:r>
    </w:p>
    <w:p w14:paraId="54EE8111">
      <w:pPr>
        <w:pStyle w:val="17"/>
        <w:tabs>
          <w:tab w:val="left" w:pos="794"/>
        </w:tabs>
        <w:ind w:left="0"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3.“</w:t>
      </w:r>
      <w:r>
        <w:rPr>
          <w:rFonts w:hint="eastAsia" w:ascii="仿宋_GB2312" w:hAnsi="仿宋_GB2312" w:eastAsia="仿宋_GB2312" w:cs="仿宋_GB2312"/>
          <w:sz w:val="24"/>
          <w:szCs w:val="24"/>
          <w:lang w:eastAsia="zh-CN"/>
        </w:rPr>
        <w:t>竞争性谈判小组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由采购人代表和评审专家组成。</w:t>
      </w:r>
    </w:p>
    <w:p w14:paraId="3E8EB068">
      <w:pPr>
        <w:pStyle w:val="17"/>
        <w:tabs>
          <w:tab w:val="left" w:pos="794"/>
        </w:tabs>
        <w:ind w:left="0" w:firstLine="464" w:firstLineChars="200"/>
        <w:jc w:val="both"/>
        <w:rPr>
          <w:rFonts w:ascii="楷体_GB2312" w:hAnsi="楷体_GB2312" w:eastAsia="楷体_GB2312" w:cs="楷体_GB2312"/>
          <w:sz w:val="24"/>
          <w:szCs w:val="24"/>
          <w:lang w:eastAsia="zh-CN"/>
        </w:rPr>
      </w:pPr>
      <w:r>
        <w:rPr>
          <w:rFonts w:hint="eastAsia" w:ascii="仿宋_GB2312" w:hAnsi="仿宋_GB2312" w:eastAsia="仿宋_GB2312" w:cs="仿宋_GB2312"/>
          <w:spacing w:val="-4"/>
          <w:sz w:val="24"/>
          <w:szCs w:val="24"/>
          <w:lang w:eastAsia="zh-CN"/>
        </w:rPr>
        <w:t>4.“</w:t>
      </w:r>
      <w:r>
        <w:rPr>
          <w:rFonts w:hint="eastAsia" w:ascii="仿宋_GB2312" w:hAnsi="仿宋_GB2312" w:eastAsia="仿宋_GB2312" w:cs="仿宋_GB2312"/>
          <w:sz w:val="24"/>
          <w:szCs w:val="24"/>
          <w:lang w:eastAsia="zh-CN"/>
        </w:rPr>
        <w:t>成交供应商</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是指取得与采购人签订合同资格的供应商。</w:t>
      </w:r>
    </w:p>
    <w:p w14:paraId="70CA12BF">
      <w:pPr>
        <w:pStyle w:val="3"/>
        <w:tabs>
          <w:tab w:val="left" w:pos="778"/>
        </w:tabs>
        <w:ind w:left="0" w:firstLine="522"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（四）合格的供应商</w:t>
      </w:r>
    </w:p>
    <w:p w14:paraId="0FB50B3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1.符合本竞争性谈判通知书规定的资格要求，并按照要求提供相关证明材料。</w:t>
      </w:r>
    </w:p>
    <w:p w14:paraId="04C22D1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2.单位负责人为同一人或者存在直接控股、管理关系的不同供应商，不得参加同一合同项下的政府采购活动。</w:t>
      </w:r>
    </w:p>
    <w:p w14:paraId="7BE297F0">
      <w:pPr>
        <w:pStyle w:val="17"/>
        <w:tabs>
          <w:tab w:val="left" w:pos="875"/>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lang w:eastAsia="zh-CN"/>
        </w:rPr>
        <w:t>活动。</w:t>
      </w:r>
    </w:p>
    <w:p w14:paraId="4E0B9685">
      <w:pPr>
        <w:pStyle w:val="3"/>
        <w:tabs>
          <w:tab w:val="left" w:pos="778"/>
        </w:tabs>
        <w:ind w:left="0" w:firstLine="522"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（五）语言文字以及计量单位</w:t>
      </w:r>
    </w:p>
    <w:p w14:paraId="3ED4E62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1.所有文件使用的语言文字为简体中文。专用术语使用外文的，应附有简体中文注释，否则视为无效。</w:t>
      </w:r>
    </w:p>
    <w:p w14:paraId="0144989F">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2.所有计量均采用中华人民共和国法定的计量单位。</w:t>
      </w:r>
    </w:p>
    <w:p w14:paraId="5FC74F52">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3.所有报价一律使用人民币，货币单位：元。</w:t>
      </w:r>
    </w:p>
    <w:p w14:paraId="788A1874">
      <w:pPr>
        <w:pStyle w:val="3"/>
        <w:tabs>
          <w:tab w:val="left" w:pos="778"/>
        </w:tabs>
        <w:ind w:left="0" w:firstLine="51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（六）其他条款</w:t>
      </w:r>
    </w:p>
    <w:p w14:paraId="03392C53">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无论成交与否供应商递交的响应文件均不予退还。</w:t>
      </w:r>
    </w:p>
    <w:p w14:paraId="1EDD293C">
      <w:pPr>
        <w:pStyle w:val="3"/>
        <w:spacing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三、竞争性谈判通知书的澄清或者修改</w:t>
      </w:r>
    </w:p>
    <w:p w14:paraId="470DE1F7">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交响应文件截止之日前，采购人或者竞争性谈判小组可以对已发出的竞争性谈判通知书进行必要的澄清或者修改，澄清或者修改的内容作为竞争性谈判通知书的组成部分。澄清或者修改的内容可能影响响应文件编制的，采购人或者竞争性谈判小组应当在提交响应文件截止之日3个工作日前，在“巴彦淖尔市医院官网”上发布更正公告进行通知，不足3个工作日  的，应当顺延提交响应文件截止之日。更正公告的内容为竞争性谈判通知书的组成部分，供应商应自行上网查询，采购人不承担供应商未及时关注相关信息的责任。</w:t>
      </w:r>
    </w:p>
    <w:p w14:paraId="2AD0E959">
      <w:pPr>
        <w:pStyle w:val="3"/>
        <w:ind w:left="0"/>
        <w:jc w:val="both"/>
        <w:rPr>
          <w:rFonts w:ascii="黑体" w:hAnsi="黑体" w:eastAsia="黑体" w:cs="黑体"/>
          <w:sz w:val="24"/>
          <w:szCs w:val="24"/>
          <w:lang w:eastAsia="zh-CN"/>
        </w:rPr>
      </w:pPr>
      <w:r>
        <w:rPr>
          <w:rFonts w:hint="eastAsia" w:ascii="黑体" w:hAnsi="黑体" w:eastAsia="黑体" w:cs="黑体"/>
          <w:w w:val="115"/>
          <w:sz w:val="24"/>
          <w:szCs w:val="24"/>
          <w:lang w:eastAsia="zh-CN"/>
        </w:rPr>
        <w:t>四、响应文件</w:t>
      </w:r>
    </w:p>
    <w:p w14:paraId="0E205F95">
      <w:pPr>
        <w:pStyle w:val="3"/>
        <w:tabs>
          <w:tab w:val="left" w:pos="778"/>
        </w:tabs>
        <w:spacing w:before="1" w:line="300" w:lineRule="exact"/>
        <w:ind w:left="538"/>
        <w:rPr>
          <w:rFonts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（一）响应文件的构成</w:t>
      </w:r>
    </w:p>
    <w:p w14:paraId="0B24E57A">
      <w:pPr>
        <w:pStyle w:val="7"/>
        <w:spacing w:before="61" w:line="300" w:lineRule="exact"/>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响应文件应按照竞争性谈判通知书第七章“响应文件格式与要求”进行编写，可以增加附页，并作为响应文件的组成部分。</w:t>
      </w:r>
    </w:p>
    <w:p w14:paraId="56A86BCF">
      <w:pPr>
        <w:pStyle w:val="3"/>
        <w:tabs>
          <w:tab w:val="left" w:pos="778"/>
        </w:tabs>
        <w:spacing w:before="1"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（二）报价</w:t>
      </w:r>
    </w:p>
    <w:p w14:paraId="18A376A3">
      <w:pPr>
        <w:pStyle w:val="17"/>
        <w:tabs>
          <w:tab w:val="left" w:pos="875"/>
        </w:tabs>
        <w:spacing w:before="60" w:line="300" w:lineRule="exact"/>
        <w:ind w:left="490" w:right="109"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1.供应商应按照第三章“采购内容与技术要求”进行报价。报价中不得包含竞争性谈判通知书要求以外的内容，否则，在评审时不予核减。</w:t>
      </w:r>
    </w:p>
    <w:p w14:paraId="457A3431">
      <w:pPr>
        <w:pStyle w:val="17"/>
        <w:tabs>
          <w:tab w:val="left" w:pos="875"/>
        </w:tabs>
        <w:spacing w:line="300" w:lineRule="exact"/>
        <w:ind w:left="0"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2.报价包括本项目采购需求和投入使用、实施的所有费用，如施工、服务、专用工具、检验、培训、运输、保险、税款等。</w:t>
      </w:r>
    </w:p>
    <w:p w14:paraId="6EB92BCB">
      <w:pPr>
        <w:pStyle w:val="17"/>
        <w:tabs>
          <w:tab w:val="left" w:pos="851"/>
        </w:tabs>
        <w:spacing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3.报价不得有选择性报价和附有条件的报价。</w:t>
      </w:r>
    </w:p>
    <w:p w14:paraId="03A6FE07">
      <w:pPr>
        <w:pStyle w:val="17"/>
        <w:tabs>
          <w:tab w:val="left" w:pos="851"/>
        </w:tabs>
        <w:spacing w:before="139" w:line="300" w:lineRule="exact"/>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4.参加竞争性谈判采购活动的供应商，应当按照竞争性谈判通知书的规定一次报出不得更改的价格。</w:t>
      </w:r>
    </w:p>
    <w:p w14:paraId="41FA5DBB">
      <w:pPr>
        <w:pStyle w:val="3"/>
        <w:tabs>
          <w:tab w:val="left" w:pos="778"/>
        </w:tabs>
        <w:spacing w:before="103"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（三）响应文件的递交</w:t>
      </w:r>
    </w:p>
    <w:p w14:paraId="27C71523">
      <w:pPr>
        <w:pStyle w:val="7"/>
        <w:spacing w:before="61" w:line="300" w:lineRule="exact"/>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供应商应当在提交响应文件截止时间前递交响应文件，否则视为自动放弃。</w:t>
      </w:r>
    </w:p>
    <w:p w14:paraId="10DD2C9B">
      <w:pPr>
        <w:pStyle w:val="3"/>
        <w:tabs>
          <w:tab w:val="left" w:pos="778"/>
        </w:tabs>
        <w:spacing w:line="300" w:lineRule="exact"/>
        <w:ind w:left="538"/>
        <w:rPr>
          <w:rFonts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（四）响应文件的补充、修改或撤回</w:t>
      </w:r>
    </w:p>
    <w:p w14:paraId="6298C3D5">
      <w:pPr>
        <w:pStyle w:val="7"/>
        <w:spacing w:before="60" w:line="300" w:lineRule="exact"/>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供应商在提交响应文件截止时间前，可以对所提交的响应文件进行补充、修改或者撤回。</w:t>
      </w:r>
      <w:r>
        <w:rPr>
          <w:rFonts w:hint="eastAsia" w:ascii="仿宋_GB2312" w:hAnsi="仿宋_GB2312" w:eastAsia="仿宋_GB2312" w:cs="仿宋_GB2312"/>
          <w:sz w:val="24"/>
          <w:szCs w:val="24"/>
          <w:lang w:eastAsia="zh-CN"/>
        </w:rPr>
        <w:t>在提交响应文件截止时间后，供应商 不得补充、修改或者撤回其响应文件。</w:t>
      </w:r>
    </w:p>
    <w:p w14:paraId="758CA84B">
      <w:pPr>
        <w:pStyle w:val="3"/>
        <w:spacing w:before="102" w:line="300" w:lineRule="exact"/>
        <w:ind w:left="-1"/>
        <w:rPr>
          <w:rFonts w:ascii="黑体" w:hAnsi="黑体" w:eastAsia="黑体" w:cs="黑体"/>
          <w:sz w:val="24"/>
          <w:szCs w:val="24"/>
          <w:lang w:eastAsia="zh-CN"/>
        </w:rPr>
      </w:pPr>
      <w:r>
        <w:rPr>
          <w:rFonts w:hint="eastAsia" w:ascii="黑体" w:hAnsi="黑体" w:eastAsia="黑体" w:cs="黑体"/>
          <w:w w:val="115"/>
          <w:sz w:val="24"/>
          <w:szCs w:val="24"/>
          <w:lang w:eastAsia="zh-CN"/>
        </w:rPr>
        <w:t>五、开启、评审、结果公告、成交通知书</w:t>
      </w:r>
    </w:p>
    <w:p w14:paraId="1EE95E47">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（一）开启</w:t>
      </w:r>
    </w:p>
    <w:p w14:paraId="3D75531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1.程序</w:t>
      </w:r>
    </w:p>
    <w:p w14:paraId="202D288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（1）宣布纪律；</w:t>
      </w:r>
    </w:p>
    <w:p w14:paraId="5AF3A9B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（2）宣布相关人员；</w:t>
      </w:r>
    </w:p>
    <w:p w14:paraId="3E39BB0A">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（3）工作人员对供应商对已提交的响应文件进行拆封，由采购人工作人员宣布供应商名称和竞争性谈判通知书规定需要</w:t>
      </w:r>
      <w:r>
        <w:rPr>
          <w:rFonts w:hint="eastAsia" w:ascii="仿宋_GB2312" w:hAnsi="仿宋_GB2312" w:eastAsia="仿宋_GB2312" w:cs="仿宋_GB2312"/>
          <w:sz w:val="24"/>
          <w:szCs w:val="24"/>
          <w:lang w:eastAsia="zh-CN"/>
        </w:rPr>
        <w:t>宣布的其他内容；</w:t>
      </w:r>
    </w:p>
    <w:p w14:paraId="016E24F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（4）参加人员对开启情况进行确认；</w:t>
      </w:r>
    </w:p>
    <w:p w14:paraId="530532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（5)开启结束。</w:t>
      </w:r>
    </w:p>
    <w:p w14:paraId="48065B15">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（6）疑义</w:t>
      </w:r>
    </w:p>
    <w:p w14:paraId="1B9000E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供应商代表对开启过程和开启记录有疑义，以及认为采购人相关工作人员有需要回避情形的，应当场提出询问或者回避申请。采购人对供应商代表提出的询问或者回避申请应当及时处理。</w:t>
      </w:r>
    </w:p>
    <w:p w14:paraId="274FF9E1">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（二）评审</w:t>
      </w:r>
    </w:p>
    <w:p w14:paraId="28C43E8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详见第五章</w:t>
      </w:r>
    </w:p>
    <w:p w14:paraId="2661420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（三）结果公告</w:t>
      </w:r>
    </w:p>
    <w:p w14:paraId="367DA72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成交供应商确定后，采购人在巴彦淖尔市官网发布成交结果公告，同时将成交结果以公告形式通知未成交的供应商，成交结果公告期为 </w:t>
      </w:r>
      <w:r>
        <w:rPr>
          <w:rFonts w:hint="eastAsia" w:ascii="仿宋_GB2312" w:hAnsi="仿宋_GB2312" w:eastAsia="仿宋_GB2312" w:cs="仿宋_GB2312"/>
          <w:w w:val="110"/>
          <w:sz w:val="24"/>
          <w:szCs w:val="24"/>
          <w:lang w:eastAsia="zh-CN"/>
        </w:rPr>
        <w:t xml:space="preserve">1 </w:t>
      </w:r>
      <w:r>
        <w:rPr>
          <w:rFonts w:hint="eastAsia" w:ascii="仿宋_GB2312" w:hAnsi="仿宋_GB2312" w:eastAsia="仿宋_GB2312" w:cs="仿宋_GB2312"/>
          <w:sz w:val="24"/>
          <w:szCs w:val="24"/>
          <w:lang w:eastAsia="zh-CN"/>
        </w:rPr>
        <w:t>个工作日。项目“废标”后，采购人将在巴彦淖尔市医院官网上发布“废标公告”。</w:t>
      </w:r>
    </w:p>
    <w:p w14:paraId="23550D7B">
      <w:pPr>
        <w:pStyle w:val="3"/>
        <w:tabs>
          <w:tab w:val="left" w:pos="778"/>
        </w:tabs>
        <w:ind w:left="0" w:firstLine="518"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9"/>
          <w:sz w:val="24"/>
          <w:szCs w:val="24"/>
          <w:lang w:eastAsia="zh-CN"/>
        </w:rPr>
        <w:t>（四）成交通知书</w:t>
      </w:r>
    </w:p>
    <w:p w14:paraId="06FB4CD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发布成交结果的同时，成交供应商到代理公司处领取成交通知书，成交通知书是合同的组成部分，成交通知书对采购人和成交供应商具有同等法律效力。成交通知书发出后，采购人不得违法改变成交结果，供应商无正当理由不得放弃成交。</w:t>
      </w:r>
    </w:p>
    <w:p w14:paraId="7ACA05EB">
      <w:pPr>
        <w:pStyle w:val="3"/>
        <w:spacing w:line="300" w:lineRule="exact"/>
        <w:ind w:left="12" w:hanging="12"/>
        <w:rPr>
          <w:rFonts w:ascii="黑体" w:hAnsi="黑体" w:eastAsia="黑体" w:cs="黑体"/>
          <w:sz w:val="24"/>
          <w:szCs w:val="24"/>
          <w:lang w:eastAsia="zh-CN"/>
        </w:rPr>
      </w:pPr>
      <w:r>
        <w:rPr>
          <w:rFonts w:hint="eastAsia" w:ascii="黑体" w:hAnsi="黑体" w:eastAsia="黑体" w:cs="黑体"/>
          <w:w w:val="115"/>
          <w:sz w:val="24"/>
          <w:szCs w:val="24"/>
          <w:lang w:eastAsia="zh-CN"/>
        </w:rPr>
        <w:t>六、询问、质疑与投诉</w:t>
      </w:r>
    </w:p>
    <w:p w14:paraId="0F68D002">
      <w:pPr>
        <w:pStyle w:val="3"/>
        <w:tabs>
          <w:tab w:val="left" w:pos="778"/>
        </w:tabs>
        <w:ind w:left="0" w:firstLine="506" w:firstLineChars="200"/>
        <w:jc w:val="both"/>
        <w:rPr>
          <w:rFonts w:ascii="楷体_GB2312" w:hAnsi="楷体_GB2312" w:eastAsia="楷体_GB2312" w:cs="楷体_GB2312"/>
          <w:spacing w:val="6"/>
          <w:sz w:val="24"/>
          <w:szCs w:val="24"/>
          <w:lang w:eastAsia="zh-CN"/>
        </w:rPr>
      </w:pPr>
      <w:r>
        <w:rPr>
          <w:rFonts w:hint="eastAsia" w:ascii="楷体_GB2312" w:hAnsi="楷体_GB2312" w:eastAsia="楷体_GB2312" w:cs="楷体_GB2312"/>
          <w:spacing w:val="6"/>
          <w:sz w:val="24"/>
          <w:szCs w:val="24"/>
          <w:lang w:eastAsia="zh-CN"/>
        </w:rPr>
        <w:t>（一）询问</w:t>
      </w:r>
    </w:p>
    <w:p w14:paraId="25FC304E">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供应商对政府采购活动事项有疑问的，可以向采购人提出询问，采购人应当在</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 xml:space="preserve">个工作日 </w:t>
      </w:r>
      <w:r>
        <w:rPr>
          <w:rFonts w:hint="eastAsia" w:ascii="仿宋_GB2312" w:hAnsi="仿宋_GB2312" w:eastAsia="仿宋_GB2312" w:cs="仿宋_GB2312"/>
          <w:spacing w:val="-1"/>
          <w:sz w:val="24"/>
          <w:szCs w:val="24"/>
          <w:lang w:eastAsia="zh-CN"/>
        </w:rPr>
        <w:t>内作出答复，但答复的内容不得涉及商业秘密。</w:t>
      </w:r>
    </w:p>
    <w:p w14:paraId="6D5CD83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（二）质疑</w:t>
      </w:r>
    </w:p>
    <w:p w14:paraId="7E582BF6">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个工作日内，以书面形式向采购人提出质疑。</w:t>
      </w:r>
    </w:p>
    <w:p w14:paraId="2A52406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2.供应商在法定质疑期内应当一次性提出针对同一采购程序环节的质疑。提出质疑的供应商应当是参与所质疑项目采购活动的供应商。</w:t>
      </w:r>
    </w:p>
    <w:p w14:paraId="2181C50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3.潜在供应商已依法获取其可质疑的采购文件的，可以对该文件提出质疑。对采购文件提出质疑的，应当在获取采购文件或者采购文件公告期限届满之日起</w:t>
      </w:r>
      <w:r>
        <w:rPr>
          <w:rFonts w:hint="eastAsia" w:ascii="仿宋_GB2312" w:hAnsi="仿宋_GB2312" w:eastAsia="仿宋_GB2312" w:cs="仿宋_GB2312"/>
          <w:w w:val="110"/>
          <w:sz w:val="24"/>
          <w:szCs w:val="24"/>
          <w:lang w:eastAsia="zh-CN"/>
        </w:rPr>
        <w:t>7</w:t>
      </w:r>
      <w:r>
        <w:rPr>
          <w:rFonts w:hint="eastAsia" w:ascii="仿宋_GB2312" w:hAnsi="仿宋_GB2312" w:eastAsia="仿宋_GB2312" w:cs="仿宋_GB2312"/>
          <w:sz w:val="24"/>
          <w:szCs w:val="24"/>
          <w:lang w:eastAsia="zh-CN"/>
        </w:rPr>
        <w:t>个工作日内提出。</w:t>
      </w:r>
    </w:p>
    <w:p w14:paraId="1EB358F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4.采购人当在收到供应商的书面质疑后</w:t>
      </w:r>
      <w:r>
        <w:rPr>
          <w:rFonts w:hint="eastAsia" w:ascii="仿宋_GB2312" w:hAnsi="仿宋_GB2312" w:eastAsia="仿宋_GB2312" w:cs="仿宋_GB2312"/>
          <w:spacing w:val="-3"/>
          <w:w w:val="110"/>
          <w:sz w:val="24"/>
          <w:szCs w:val="24"/>
          <w:lang w:eastAsia="zh-CN"/>
        </w:rPr>
        <w:t>7</w:t>
      </w:r>
      <w:r>
        <w:rPr>
          <w:rFonts w:hint="eastAsia" w:ascii="仿宋_GB2312" w:hAnsi="仿宋_GB2312" w:eastAsia="仿宋_GB2312" w:cs="仿宋_GB2312"/>
          <w:spacing w:val="-1"/>
          <w:sz w:val="24"/>
          <w:szCs w:val="24"/>
          <w:lang w:eastAsia="zh-CN"/>
        </w:rPr>
        <w:t>个工作日内作出答复，并以书面形式通知质疑供应商和其他</w:t>
      </w:r>
      <w:r>
        <w:rPr>
          <w:rFonts w:hint="eastAsia" w:ascii="仿宋_GB2312" w:hAnsi="仿宋_GB2312" w:eastAsia="仿宋_GB2312" w:cs="仿宋_GB2312"/>
          <w:sz w:val="24"/>
          <w:szCs w:val="24"/>
          <w:lang w:eastAsia="zh-CN"/>
        </w:rPr>
        <w:t>有关供应商，但答复的内容不得涉及商业秘密。</w:t>
      </w:r>
    </w:p>
    <w:p w14:paraId="4C2C360C">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5.询问或者质疑事项可能影响成交结果的，采购人应当停签订合同，已经签订合同的，应当中止履行合同。</w:t>
      </w:r>
    </w:p>
    <w:p w14:paraId="3093DD7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6.暂供应商提出质疑应当提交质疑函和必要的证明材料。质疑函应当包括下列内容：</w:t>
      </w:r>
    </w:p>
    <w:p w14:paraId="4C7BB42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（1）供应商的姓名或者名称、地址、邮编、联系人及联系电话；</w:t>
      </w:r>
    </w:p>
    <w:p w14:paraId="141B02F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（2）质疑项目的名称、编号；</w:t>
      </w:r>
    </w:p>
    <w:p w14:paraId="5826723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（3）具体、明确的质疑事项和与质疑事项相关的请求；</w:t>
      </w:r>
    </w:p>
    <w:p w14:paraId="26456CA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67593B0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（5）必要的法律依据；</w:t>
      </w:r>
    </w:p>
    <w:p w14:paraId="7939E2D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（6）提出质疑的日期。</w:t>
      </w:r>
    </w:p>
    <w:p w14:paraId="2F746911">
      <w:pPr>
        <w:pStyle w:val="7"/>
        <w:ind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（7）供应商为自然人的，应当由本人签字；供应商为法人或者其他组织的，应当由法定代表人、主要负责人，或者其授权代表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2D9A5744">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（8）供应商可以委托代理人进行质疑，代理人提出质疑时应当提交供应商签署的授权委托书。其授权委托书应当载明代理人的姓名或者名称、代理事项、具体权限、期限和相关事项。</w:t>
      </w:r>
    </w:p>
    <w:p w14:paraId="41BB5A63">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（9）供应商提交的质疑函，应按照内蒙古自治区政府采购网中的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质疑函范本</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制作。</w:t>
      </w:r>
    </w:p>
    <w:p w14:paraId="52462BAA">
      <w:pPr>
        <w:pStyle w:val="17"/>
        <w:tabs>
          <w:tab w:val="left" w:pos="794"/>
          <w:tab w:val="left" w:pos="880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lang w:eastAsia="zh-CN"/>
        </w:rPr>
        <w:t>自将质疑函递交至采购人，也可以通过邮寄、快递等方式提交。质疑函以邮寄、快递方式递交的，以邮寄件上</w:t>
      </w:r>
      <w:r>
        <w:rPr>
          <w:rFonts w:hint="eastAsia" w:ascii="仿宋_GB2312" w:hAnsi="仿宋_GB2312" w:eastAsia="仿宋_GB2312" w:cs="仿宋_GB2312"/>
          <w:sz w:val="24"/>
          <w:szCs w:val="24"/>
          <w:lang w:eastAsia="zh-CN"/>
        </w:rPr>
        <w:t>的戳记日期、邮政快递件上的戳记日期和非邮政快递件上的签注日期为质疑提起日期。接收质疑函的联系部门、联系电话、通讯地址（详见第一章 竞争性谈判邀请）。</w:t>
      </w:r>
    </w:p>
    <w:p w14:paraId="0AB905B2">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（三）投诉</w:t>
      </w:r>
    </w:p>
    <w:p w14:paraId="61DA09AB">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lang w:eastAsia="zh-CN"/>
        </w:rPr>
        <w:t>供应商投诉的事项不得超出已质疑事项的范围，但基于质疑答复内容提出的投诉事项除外。</w:t>
      </w:r>
    </w:p>
    <w:p w14:paraId="0BF43EAD">
      <w:pPr>
        <w:pStyle w:val="17"/>
        <w:tabs>
          <w:tab w:val="left" w:pos="875"/>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2.投诉人投诉时，应当提交投诉书和必要的证明材料，并按照被投诉采购人</w:t>
      </w:r>
      <w:r>
        <w:rPr>
          <w:rFonts w:hint="eastAsia" w:ascii="仿宋_GB2312" w:hAnsi="仿宋_GB2312" w:eastAsia="仿宋_GB2312" w:cs="仿宋_GB2312"/>
          <w:spacing w:val="-8"/>
          <w:sz w:val="24"/>
          <w:szCs w:val="24"/>
          <w:lang w:eastAsia="zh-CN"/>
        </w:rPr>
        <w:t>和与</w:t>
      </w:r>
      <w:r>
        <w:rPr>
          <w:rFonts w:hint="eastAsia" w:ascii="仿宋_GB2312" w:hAnsi="仿宋_GB2312" w:eastAsia="仿宋_GB2312" w:cs="仿宋_GB2312"/>
          <w:sz w:val="24"/>
          <w:szCs w:val="24"/>
          <w:lang w:eastAsia="zh-CN"/>
        </w:rPr>
        <w:t>投诉事项有关的供应商数量提供投诉书的副本。投诉书应当包括下列内容：</w:t>
      </w:r>
    </w:p>
    <w:p w14:paraId="485FE3F7">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（1）投诉人和被投诉人的姓名或者名称、通讯地址、邮编、联系人及联系电话；</w:t>
      </w:r>
    </w:p>
    <w:p w14:paraId="7296926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（2）质疑和质疑答复情况说明及相关证明材料；</w:t>
      </w:r>
    </w:p>
    <w:p w14:paraId="1128FA6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（3）具体、明确的投诉事项和与投诉事项相关的投诉请求；</w:t>
      </w:r>
    </w:p>
    <w:p w14:paraId="2BEB2F7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（4）事实依据；</w:t>
      </w:r>
    </w:p>
    <w:p w14:paraId="0B8CB396">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（5）法律依据；</w:t>
      </w:r>
    </w:p>
    <w:p w14:paraId="606D6F9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（6）提起投诉的日期。</w:t>
      </w:r>
    </w:p>
    <w:p w14:paraId="42578E5A">
      <w:pPr>
        <w:pStyle w:val="7"/>
        <w:ind w:firstLine="480" w:firstLineChars="200"/>
        <w:jc w:val="both"/>
        <w:rPr>
          <w:lang w:eastAsia="zh-CN"/>
        </w:rPr>
      </w:pP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pacing w:val="-1"/>
          <w:sz w:val="24"/>
          <w:szCs w:val="24"/>
          <w:lang w:eastAsia="zh-CN"/>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lang w:eastAsia="zh-CN"/>
        </w:rPr>
        <w:t>签字或者盖章，并加盖公章。</w:t>
      </w:r>
    </w:p>
    <w:p w14:paraId="159BA9C3">
      <w:pPr>
        <w:pStyle w:val="17"/>
        <w:numPr>
          <w:ilvl w:val="1"/>
          <w:numId w:val="1"/>
        </w:numPr>
        <w:tabs>
          <w:tab w:val="left" w:pos="794"/>
        </w:tabs>
        <w:spacing w:line="242" w:lineRule="exact"/>
        <w:ind w:left="793" w:hanging="303"/>
        <w:rPr>
          <w:sz w:val="19"/>
          <w:lang w:eastAsia="zh-CN"/>
        </w:rPr>
        <w:sectPr>
          <w:headerReference r:id="rId4" w:type="default"/>
          <w:pgSz w:w="11900" w:h="16840"/>
          <w:pgMar w:top="1587" w:right="1587" w:bottom="1587" w:left="1587" w:header="850" w:footer="227" w:gutter="0"/>
          <w:cols w:space="720" w:num="1"/>
        </w:sectPr>
      </w:pPr>
    </w:p>
    <w:p w14:paraId="62E46DB5">
      <w:pPr>
        <w:pStyle w:val="2"/>
        <w:spacing w:before="36" w:line="300" w:lineRule="exact"/>
        <w:ind w:lef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第三章 采购内容与技术要求</w:t>
      </w:r>
    </w:p>
    <w:p w14:paraId="58F5FCDA">
      <w:pPr>
        <w:pStyle w:val="4"/>
        <w:ind w:left="0"/>
        <w:rPr>
          <w:rFonts w:ascii="黑体" w:hAnsi="黑体" w:eastAsia="黑体" w:cs="黑体"/>
          <w:sz w:val="24"/>
          <w:szCs w:val="24"/>
          <w:lang w:eastAsia="zh-CN"/>
        </w:rPr>
      </w:pPr>
      <w:r>
        <w:rPr>
          <w:rFonts w:hint="eastAsia" w:ascii="黑体" w:hAnsi="黑体" w:eastAsia="黑体" w:cs="黑体"/>
          <w:sz w:val="24"/>
          <w:szCs w:val="24"/>
          <w:lang w:eastAsia="zh-CN"/>
        </w:rPr>
        <w:t>一、项目概况 ：</w:t>
      </w:r>
    </w:p>
    <w:p w14:paraId="749D2795">
      <w:pPr>
        <w:pStyle w:val="7"/>
        <w:spacing w:before="23"/>
        <w:ind w:left="106" w:right="269" w:firstLine="384"/>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项目包括1.巴彦淖尔市医院精神科设备购置项目</w:t>
      </w:r>
    </w:p>
    <w:p w14:paraId="20C85C5C">
      <w:pPr>
        <w:pStyle w:val="4"/>
        <w:ind w:left="99" w:hanging="99" w:hangingChars="41"/>
        <w:rPr>
          <w:rFonts w:ascii="黑体" w:hAnsi="黑体" w:eastAsia="黑体" w:cs="黑体"/>
          <w:sz w:val="24"/>
          <w:szCs w:val="24"/>
          <w:lang w:eastAsia="zh-CN"/>
        </w:rPr>
      </w:pPr>
      <w:r>
        <w:rPr>
          <w:rFonts w:hint="eastAsia" w:ascii="黑体" w:hAnsi="黑体" w:eastAsia="黑体" w:cs="黑体"/>
          <w:sz w:val="24"/>
          <w:szCs w:val="24"/>
          <w:lang w:eastAsia="zh-CN"/>
        </w:rPr>
        <w:t>二、主要商务要求、技术要求</w:t>
      </w:r>
    </w:p>
    <w:p w14:paraId="747A2D5C">
      <w:pPr>
        <w:pStyle w:val="7"/>
        <w:spacing w:before="58"/>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合同包1（精神科设备购置项目）</w:t>
      </w:r>
    </w:p>
    <w:p w14:paraId="1A4C5246">
      <w:pPr>
        <w:pStyle w:val="4"/>
        <w:tabs>
          <w:tab w:val="left" w:pos="313"/>
        </w:tabs>
        <w:ind w:left="5" w:firstLine="655" w:firstLineChars="251"/>
        <w:rPr>
          <w:rFonts w:ascii="楷体_GB2312" w:hAnsi="楷体_GB2312" w:eastAsia="楷体_GB2312" w:cs="楷体_GB2312"/>
          <w:sz w:val="24"/>
          <w:szCs w:val="24"/>
          <w:lang w:eastAsia="zh-CN"/>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0"/>
        <w:gridCol w:w="6551"/>
      </w:tblGrid>
      <w:tr w14:paraId="1456A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59FDAA7">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6551" w:type="dxa"/>
            <w:vAlign w:val="center"/>
          </w:tcPr>
          <w:p w14:paraId="1611B6A9">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合同签订后30日历天完成交付</w:t>
            </w:r>
          </w:p>
        </w:tc>
      </w:tr>
      <w:tr w14:paraId="6AEA9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004408A1">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6551" w:type="dxa"/>
            <w:vAlign w:val="center"/>
          </w:tcPr>
          <w:p w14:paraId="351C5D94">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1F5D1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7C5C7938">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6551" w:type="dxa"/>
            <w:vAlign w:val="center"/>
          </w:tcPr>
          <w:p w14:paraId="0D5A6E09">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2期：安装验收合格并完成财务入库手续后6个月内付款，首期为合同价的90%，首期付款结束后18个月内支付合同剩余部分。</w:t>
            </w:r>
          </w:p>
        </w:tc>
      </w:tr>
      <w:tr w14:paraId="0ECFC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265E2F94">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6551" w:type="dxa"/>
            <w:vAlign w:val="center"/>
          </w:tcPr>
          <w:p w14:paraId="45C0A19E">
            <w:pPr>
              <w:pStyle w:val="18"/>
              <w:spacing w:before="24" w:line="300" w:lineRule="exact"/>
              <w:ind w:left="1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1期；按照招投标响应文件和合同约定内容。</w:t>
            </w:r>
          </w:p>
        </w:tc>
      </w:tr>
      <w:tr w14:paraId="23F93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4983243F">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6551" w:type="dxa"/>
            <w:vAlign w:val="center"/>
          </w:tcPr>
          <w:p w14:paraId="31AADED6">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7DB33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080" w:type="dxa"/>
            <w:vAlign w:val="center"/>
          </w:tcPr>
          <w:p w14:paraId="5C796BDD">
            <w:pPr>
              <w:pStyle w:val="18"/>
              <w:spacing w:before="60" w:line="300" w:lineRule="exact"/>
              <w:ind w:left="1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6551" w:type="dxa"/>
            <w:vAlign w:val="center"/>
          </w:tcPr>
          <w:p w14:paraId="3C8AD8CD">
            <w:pPr>
              <w:pStyle w:val="18"/>
              <w:spacing w:line="3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质心理测量与认知评估系统整机维保期≥3年；</w:t>
            </w:r>
          </w:p>
          <w:p w14:paraId="29B7E379">
            <w:pPr>
              <w:pStyle w:val="18"/>
              <w:spacing w:line="3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经颅磁刺激仪整机维保期≥2年</w:t>
            </w:r>
          </w:p>
        </w:tc>
      </w:tr>
    </w:tbl>
    <w:p w14:paraId="2DCC1EE0">
      <w:pPr>
        <w:jc w:val="both"/>
        <w:rPr>
          <w:rFonts w:ascii="仿宋_GB2312" w:hAnsi="仿宋_GB2312" w:eastAsia="仿宋_GB2312" w:cs="仿宋_GB2312"/>
          <w:sz w:val="24"/>
          <w:szCs w:val="24"/>
          <w:lang w:eastAsia="zh-CN"/>
        </w:rPr>
      </w:pPr>
    </w:p>
    <w:p w14:paraId="6EB918B8">
      <w:pPr>
        <w:pStyle w:val="4"/>
        <w:tabs>
          <w:tab w:val="left" w:pos="313"/>
        </w:tabs>
        <w:ind w:left="5" w:firstLine="655" w:firstLineChars="251"/>
        <w:rPr>
          <w:rFonts w:ascii="楷体_GB2312" w:hAnsi="楷体_GB2312" w:eastAsia="楷体_GB2312" w:cs="楷体_GB2312"/>
          <w:spacing w:val="10"/>
          <w:sz w:val="24"/>
          <w:szCs w:val="24"/>
        </w:rPr>
      </w:pPr>
      <w:r>
        <w:rPr>
          <w:rFonts w:hint="eastAsia" w:ascii="楷体_GB2312" w:hAnsi="楷体_GB2312" w:eastAsia="楷体_GB2312" w:cs="楷体_GB2312"/>
          <w:spacing w:val="10"/>
          <w:sz w:val="24"/>
          <w:szCs w:val="24"/>
        </w:rPr>
        <w:t>（二）技术要求</w:t>
      </w:r>
    </w:p>
    <w:tbl>
      <w:tblPr>
        <w:tblStyle w:val="11"/>
        <w:tblW w:w="87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9"/>
        <w:gridCol w:w="1504"/>
        <w:gridCol w:w="992"/>
        <w:gridCol w:w="993"/>
        <w:gridCol w:w="1339"/>
        <w:gridCol w:w="1382"/>
        <w:gridCol w:w="828"/>
        <w:gridCol w:w="1033"/>
      </w:tblGrid>
      <w:tr w14:paraId="1B155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4" w:hRule="atLeast"/>
          <w:jc w:val="center"/>
        </w:trPr>
        <w:tc>
          <w:tcPr>
            <w:tcW w:w="709" w:type="dxa"/>
            <w:vAlign w:val="center"/>
          </w:tcPr>
          <w:p w14:paraId="1FBB9E64">
            <w:pPr>
              <w:pStyle w:val="1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504" w:type="dxa"/>
            <w:vAlign w:val="center"/>
          </w:tcPr>
          <w:p w14:paraId="4AC3E23C">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标的名称</w:t>
            </w:r>
          </w:p>
        </w:tc>
        <w:tc>
          <w:tcPr>
            <w:tcW w:w="992" w:type="dxa"/>
            <w:vAlign w:val="center"/>
          </w:tcPr>
          <w:p w14:paraId="44D2A952">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单位</w:t>
            </w:r>
          </w:p>
        </w:tc>
        <w:tc>
          <w:tcPr>
            <w:tcW w:w="993" w:type="dxa"/>
            <w:vAlign w:val="center"/>
          </w:tcPr>
          <w:p w14:paraId="6F1CF910">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数量</w:t>
            </w:r>
          </w:p>
        </w:tc>
        <w:tc>
          <w:tcPr>
            <w:tcW w:w="1339" w:type="dxa"/>
            <w:vAlign w:val="center"/>
          </w:tcPr>
          <w:p w14:paraId="147874DD">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分项预算单价（元）</w:t>
            </w:r>
          </w:p>
        </w:tc>
        <w:tc>
          <w:tcPr>
            <w:tcW w:w="1382" w:type="dxa"/>
            <w:vAlign w:val="center"/>
          </w:tcPr>
          <w:p w14:paraId="0EB09F5E">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分项预算总价（元）</w:t>
            </w:r>
          </w:p>
        </w:tc>
        <w:tc>
          <w:tcPr>
            <w:tcW w:w="828" w:type="dxa"/>
            <w:vAlign w:val="center"/>
          </w:tcPr>
          <w:p w14:paraId="1A264A10">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所属行业</w:t>
            </w:r>
          </w:p>
        </w:tc>
        <w:tc>
          <w:tcPr>
            <w:tcW w:w="1033" w:type="dxa"/>
            <w:vAlign w:val="center"/>
          </w:tcPr>
          <w:p w14:paraId="3F6AFF97">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技术</w:t>
            </w:r>
          </w:p>
          <w:p w14:paraId="49B7D001">
            <w:pPr>
              <w:pStyle w:val="18"/>
              <w:jc w:val="center"/>
              <w:rPr>
                <w:rFonts w:ascii="仿宋_GB2312" w:hAnsi="仿宋_GB2312" w:eastAsia="仿宋_GB2312" w:cs="仿宋_GB2312"/>
                <w:bCs/>
                <w:spacing w:val="6"/>
              </w:rPr>
            </w:pPr>
            <w:r>
              <w:rPr>
                <w:rFonts w:hint="eastAsia" w:ascii="仿宋_GB2312" w:hAnsi="仿宋_GB2312" w:eastAsia="仿宋_GB2312" w:cs="仿宋_GB2312"/>
                <w:bCs/>
                <w:spacing w:val="6"/>
              </w:rPr>
              <w:t>要求</w:t>
            </w:r>
          </w:p>
        </w:tc>
      </w:tr>
      <w:tr w14:paraId="02860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4" w:hRule="atLeast"/>
          <w:jc w:val="center"/>
        </w:trPr>
        <w:tc>
          <w:tcPr>
            <w:tcW w:w="709" w:type="dxa"/>
            <w:vAlign w:val="center"/>
          </w:tcPr>
          <w:p w14:paraId="75386286">
            <w:pPr>
              <w:pStyle w:val="18"/>
              <w:jc w:val="center"/>
              <w:rPr>
                <w:rFonts w:ascii="仿宋_GB2312" w:hAnsi="仿宋_GB2312" w:eastAsia="仿宋_GB2312" w:cs="仿宋_GB2312"/>
              </w:rPr>
            </w:pPr>
            <w:r>
              <w:rPr>
                <w:rFonts w:hint="eastAsia" w:ascii="仿宋_GB2312" w:hAnsi="仿宋_GB2312" w:eastAsia="仿宋_GB2312" w:cs="仿宋_GB2312"/>
                <w:w w:val="103"/>
              </w:rPr>
              <w:t>1</w:t>
            </w:r>
          </w:p>
        </w:tc>
        <w:tc>
          <w:tcPr>
            <w:tcW w:w="1504" w:type="dxa"/>
            <w:vAlign w:val="center"/>
          </w:tcPr>
          <w:p w14:paraId="2DD842D3">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心理测量与认知评估系统</w:t>
            </w:r>
          </w:p>
        </w:tc>
        <w:tc>
          <w:tcPr>
            <w:tcW w:w="992" w:type="dxa"/>
            <w:vAlign w:val="center"/>
          </w:tcPr>
          <w:p w14:paraId="0FE1B45F">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套</w:t>
            </w:r>
          </w:p>
        </w:tc>
        <w:tc>
          <w:tcPr>
            <w:tcW w:w="993" w:type="dxa"/>
            <w:vAlign w:val="center"/>
          </w:tcPr>
          <w:p w14:paraId="27914172">
            <w:pPr>
              <w:pStyle w:val="18"/>
              <w:jc w:val="center"/>
              <w:rPr>
                <w:rFonts w:ascii="仿宋_GB2312" w:hAnsi="仿宋_GB2312" w:eastAsia="仿宋_GB2312" w:cs="仿宋_GB2312"/>
              </w:rPr>
            </w:pPr>
            <w:r>
              <w:rPr>
                <w:rFonts w:hint="eastAsia" w:ascii="仿宋_GB2312" w:hAnsi="仿宋_GB2312" w:eastAsia="仿宋_GB2312" w:cs="仿宋_GB2312"/>
              </w:rPr>
              <w:t>1</w:t>
            </w:r>
          </w:p>
        </w:tc>
        <w:tc>
          <w:tcPr>
            <w:tcW w:w="1339" w:type="dxa"/>
            <w:vMerge w:val="restart"/>
            <w:vAlign w:val="center"/>
          </w:tcPr>
          <w:p w14:paraId="6DA249F7">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600000</w:t>
            </w:r>
          </w:p>
        </w:tc>
        <w:tc>
          <w:tcPr>
            <w:tcW w:w="1382" w:type="dxa"/>
            <w:vMerge w:val="restart"/>
            <w:vAlign w:val="center"/>
          </w:tcPr>
          <w:p w14:paraId="34A7E0C1">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600000</w:t>
            </w:r>
          </w:p>
        </w:tc>
        <w:tc>
          <w:tcPr>
            <w:tcW w:w="828" w:type="dxa"/>
            <w:vMerge w:val="restart"/>
            <w:vAlign w:val="center"/>
          </w:tcPr>
          <w:p w14:paraId="2E627A6C">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工业</w:t>
            </w:r>
          </w:p>
        </w:tc>
        <w:tc>
          <w:tcPr>
            <w:tcW w:w="1033" w:type="dxa"/>
            <w:vMerge w:val="restart"/>
            <w:vAlign w:val="center"/>
          </w:tcPr>
          <w:p w14:paraId="28E9DEC3">
            <w:pPr>
              <w:pStyle w:val="18"/>
              <w:jc w:val="center"/>
              <w:rPr>
                <w:rFonts w:ascii="仿宋_GB2312" w:hAnsi="仿宋_GB2312" w:eastAsia="仿宋_GB2312" w:cs="仿宋_GB2312"/>
              </w:rPr>
            </w:pPr>
            <w:r>
              <w:rPr>
                <w:rFonts w:hint="eastAsia" w:ascii="仿宋_GB2312" w:hAnsi="仿宋_GB2312" w:eastAsia="仿宋_GB2312" w:cs="仿宋_GB2312"/>
              </w:rPr>
              <w:t>详见附</w:t>
            </w:r>
          </w:p>
          <w:p w14:paraId="00C240E3">
            <w:pPr>
              <w:pStyle w:val="18"/>
              <w:jc w:val="center"/>
              <w:rPr>
                <w:rFonts w:ascii="仿宋_GB2312" w:hAnsi="仿宋_GB2312" w:eastAsia="仿宋_GB2312" w:cs="仿宋_GB2312"/>
              </w:rPr>
            </w:pPr>
            <w:r>
              <w:rPr>
                <w:rFonts w:hint="eastAsia" w:ascii="仿宋_GB2312" w:hAnsi="仿宋_GB2312" w:eastAsia="仿宋_GB2312" w:cs="仿宋_GB2312"/>
              </w:rPr>
              <w:t>表</w:t>
            </w:r>
          </w:p>
        </w:tc>
      </w:tr>
      <w:tr w14:paraId="650E6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jc w:val="center"/>
        </w:trPr>
        <w:tc>
          <w:tcPr>
            <w:tcW w:w="709" w:type="dxa"/>
            <w:vAlign w:val="center"/>
          </w:tcPr>
          <w:p w14:paraId="180F4A21">
            <w:pPr>
              <w:pStyle w:val="18"/>
              <w:jc w:val="center"/>
              <w:rPr>
                <w:rFonts w:ascii="仿宋_GB2312" w:hAnsi="仿宋_GB2312" w:eastAsia="仿宋_GB2312" w:cs="仿宋_GB2312"/>
                <w:w w:val="103"/>
                <w:lang w:eastAsia="zh-CN"/>
              </w:rPr>
            </w:pPr>
            <w:r>
              <w:rPr>
                <w:rFonts w:hint="eastAsia" w:ascii="仿宋_GB2312" w:hAnsi="仿宋_GB2312" w:eastAsia="仿宋_GB2312" w:cs="仿宋_GB2312"/>
                <w:w w:val="103"/>
                <w:lang w:eastAsia="zh-CN"/>
              </w:rPr>
              <w:t>2</w:t>
            </w:r>
          </w:p>
        </w:tc>
        <w:tc>
          <w:tcPr>
            <w:tcW w:w="1504" w:type="dxa"/>
            <w:vAlign w:val="center"/>
          </w:tcPr>
          <w:p w14:paraId="6F5F02C8">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经颅磁刺激仪</w:t>
            </w:r>
          </w:p>
        </w:tc>
        <w:tc>
          <w:tcPr>
            <w:tcW w:w="992" w:type="dxa"/>
            <w:vAlign w:val="center"/>
          </w:tcPr>
          <w:p w14:paraId="2A19C69E">
            <w:pPr>
              <w:pStyle w:val="18"/>
              <w:jc w:val="center"/>
              <w:rPr>
                <w:rFonts w:ascii="仿宋_GB2312" w:hAnsi="仿宋_GB2312" w:eastAsia="仿宋_GB2312" w:cs="仿宋_GB2312"/>
                <w:lang w:eastAsia="zh-CN"/>
              </w:rPr>
            </w:pPr>
            <w:r>
              <w:rPr>
                <w:rFonts w:hint="eastAsia" w:ascii="仿宋_GB2312" w:hAnsi="仿宋_GB2312" w:eastAsia="仿宋_GB2312" w:cs="仿宋_GB2312"/>
                <w:lang w:eastAsia="zh-CN"/>
              </w:rPr>
              <w:t>台</w:t>
            </w:r>
          </w:p>
        </w:tc>
        <w:tc>
          <w:tcPr>
            <w:tcW w:w="993" w:type="dxa"/>
            <w:vAlign w:val="center"/>
          </w:tcPr>
          <w:p w14:paraId="0AA634F1">
            <w:pPr>
              <w:pStyle w:val="18"/>
              <w:jc w:val="center"/>
              <w:rPr>
                <w:rFonts w:ascii="仿宋_GB2312" w:hAnsi="仿宋_GB2312" w:eastAsia="仿宋_GB2312" w:cs="仿宋_GB2312"/>
              </w:rPr>
            </w:pPr>
            <w:r>
              <w:rPr>
                <w:rFonts w:hint="eastAsia" w:ascii="仿宋_GB2312" w:hAnsi="仿宋_GB2312" w:eastAsia="仿宋_GB2312" w:cs="仿宋_GB2312"/>
                <w:lang w:eastAsia="zh-CN"/>
              </w:rPr>
              <w:t>1</w:t>
            </w:r>
          </w:p>
        </w:tc>
        <w:tc>
          <w:tcPr>
            <w:tcW w:w="1339" w:type="dxa"/>
            <w:vMerge w:val="continue"/>
            <w:vAlign w:val="center"/>
          </w:tcPr>
          <w:p w14:paraId="43008F61">
            <w:pPr>
              <w:pStyle w:val="18"/>
              <w:jc w:val="center"/>
              <w:rPr>
                <w:rFonts w:ascii="仿宋_GB2312" w:hAnsi="仿宋_GB2312" w:eastAsia="仿宋_GB2312" w:cs="仿宋_GB2312"/>
                <w:b/>
              </w:rPr>
            </w:pPr>
          </w:p>
        </w:tc>
        <w:tc>
          <w:tcPr>
            <w:tcW w:w="1382" w:type="dxa"/>
            <w:vMerge w:val="continue"/>
            <w:vAlign w:val="center"/>
          </w:tcPr>
          <w:p w14:paraId="24664546">
            <w:pPr>
              <w:pStyle w:val="18"/>
              <w:jc w:val="center"/>
              <w:rPr>
                <w:rFonts w:ascii="仿宋_GB2312" w:hAnsi="仿宋_GB2312" w:eastAsia="仿宋_GB2312" w:cs="仿宋_GB2312"/>
                <w:b/>
              </w:rPr>
            </w:pPr>
          </w:p>
        </w:tc>
        <w:tc>
          <w:tcPr>
            <w:tcW w:w="828" w:type="dxa"/>
            <w:vMerge w:val="continue"/>
            <w:vAlign w:val="center"/>
          </w:tcPr>
          <w:p w14:paraId="5F3D99C8">
            <w:pPr>
              <w:pStyle w:val="18"/>
              <w:jc w:val="center"/>
              <w:rPr>
                <w:rFonts w:ascii="仿宋_GB2312" w:hAnsi="仿宋_GB2312" w:eastAsia="仿宋_GB2312" w:cs="仿宋_GB2312"/>
                <w:lang w:eastAsia="zh-CN"/>
              </w:rPr>
            </w:pPr>
          </w:p>
        </w:tc>
        <w:tc>
          <w:tcPr>
            <w:tcW w:w="1033" w:type="dxa"/>
            <w:vMerge w:val="continue"/>
            <w:vAlign w:val="center"/>
          </w:tcPr>
          <w:p w14:paraId="63971EE8">
            <w:pPr>
              <w:pStyle w:val="18"/>
              <w:jc w:val="center"/>
              <w:rPr>
                <w:rFonts w:ascii="仿宋_GB2312" w:hAnsi="仿宋_GB2312" w:eastAsia="仿宋_GB2312" w:cs="仿宋_GB2312"/>
              </w:rPr>
            </w:pPr>
          </w:p>
        </w:tc>
      </w:tr>
    </w:tbl>
    <w:p w14:paraId="0C14E323">
      <w:pPr>
        <w:pStyle w:val="7"/>
        <w:spacing w:before="4" w:line="300" w:lineRule="exact"/>
        <w:rPr>
          <w:rFonts w:ascii="仿宋_GB2312" w:hAnsi="仿宋_GB2312" w:eastAsia="仿宋_GB2312" w:cs="仿宋_GB2312"/>
          <w:b/>
          <w:sz w:val="24"/>
          <w:szCs w:val="24"/>
        </w:rPr>
      </w:pPr>
    </w:p>
    <w:p w14:paraId="4736A24D">
      <w:pPr>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★附表：</w:t>
      </w:r>
      <w:r>
        <w:rPr>
          <w:rFonts w:hint="eastAsia" w:ascii="仿宋_GB2312" w:hAnsi="仿宋_GB2312" w:eastAsia="仿宋_GB2312" w:cs="仿宋_GB2312"/>
          <w:sz w:val="24"/>
          <w:szCs w:val="24"/>
          <w:lang w:eastAsia="zh-CN"/>
        </w:rPr>
        <w:t xml:space="preserve">心理测量与认知评估系统和经颅磁刺激仪   </w:t>
      </w:r>
      <w:r>
        <w:rPr>
          <w:rFonts w:hint="eastAsia" w:ascii="仿宋_GB2312" w:hAnsi="仿宋_GB2312" w:eastAsia="仿宋_GB2312" w:cs="仿宋_GB2312"/>
          <w:b/>
          <w:sz w:val="24"/>
          <w:szCs w:val="24"/>
          <w:lang w:eastAsia="zh-CN"/>
        </w:rPr>
        <w:t xml:space="preserve"> </w:t>
      </w:r>
      <w:r>
        <w:rPr>
          <w:rFonts w:hint="eastAsia" w:ascii="仿宋_GB2312" w:hAnsi="仿宋_GB2312" w:eastAsia="仿宋_GB2312" w:cs="仿宋_GB2312"/>
          <w:bCs/>
          <w:sz w:val="24"/>
          <w:szCs w:val="24"/>
          <w:lang w:eastAsia="zh-CN"/>
        </w:rPr>
        <w:t>是否允许进口：否</w:t>
      </w:r>
    </w:p>
    <w:p w14:paraId="63638AD8">
      <w:pPr>
        <w:jc w:val="both"/>
        <w:rPr>
          <w:rFonts w:ascii="仿宋_GB2312" w:hAnsi="仿宋_GB2312" w:eastAsia="仿宋_GB2312" w:cs="仿宋_GB2312"/>
          <w:b/>
          <w:sz w:val="24"/>
          <w:szCs w:val="24"/>
          <w:lang w:eastAsia="zh-CN"/>
        </w:rPr>
      </w:pPr>
    </w:p>
    <w:p w14:paraId="571E9605">
      <w:pPr>
        <w:jc w:val="both"/>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技术参数指标：</w:t>
      </w:r>
    </w:p>
    <w:p w14:paraId="60300A77">
      <w:pPr>
        <w:jc w:val="center"/>
        <w:rPr>
          <w:rFonts w:ascii="黑体" w:hAnsi="黑体" w:eastAsia="黑体" w:cs="仿宋_GB2312"/>
          <w:b/>
          <w:sz w:val="28"/>
          <w:szCs w:val="28"/>
          <w:lang w:eastAsia="zh-CN"/>
        </w:rPr>
      </w:pPr>
      <w:r>
        <w:rPr>
          <w:rFonts w:hint="eastAsia" w:ascii="黑体" w:hAnsi="黑体" w:eastAsia="黑体"/>
          <w:sz w:val="28"/>
          <w:szCs w:val="24"/>
          <w:lang w:eastAsia="zh-CN"/>
        </w:rPr>
        <w:t>心理</w:t>
      </w:r>
      <w:r>
        <w:rPr>
          <w:rFonts w:ascii="黑体" w:hAnsi="黑体" w:eastAsia="黑体"/>
          <w:sz w:val="28"/>
          <w:szCs w:val="24"/>
          <w:lang w:eastAsia="zh-CN"/>
        </w:rPr>
        <w:t>测量与认知评估系统</w:t>
      </w:r>
    </w:p>
    <w:p w14:paraId="2D3C7754">
      <w:pPr>
        <w:jc w:val="both"/>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一、技术参数要求</w:t>
      </w:r>
    </w:p>
    <w:p w14:paraId="47076B42">
      <w:pPr>
        <w:ind w:firstLine="482"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Cs/>
          <w:sz w:val="24"/>
          <w:szCs w:val="24"/>
          <w:lang w:eastAsia="zh-CN"/>
        </w:rPr>
        <w:t>1.产品属于医疗器械，并取得境内第二类医疗器械注册证。</w:t>
      </w:r>
    </w:p>
    <w:p w14:paraId="131E68AA">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2.系统包括不少于中国人六个基本人格因子量表:精神质、神经质、内向-外向、装好-装坏、男子气-女子气、非社会化。</w:t>
      </w:r>
    </w:p>
    <w:p w14:paraId="673C1472">
      <w:pPr>
        <w:ind w:firstLine="482"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Cs/>
          <w:sz w:val="24"/>
          <w:szCs w:val="24"/>
          <w:lang w:eastAsia="zh-CN"/>
        </w:rPr>
        <w:t>3.不少于260个心理维度的结果分析，检查内容包括感知觉、思维、情绪、意志行为、睡眠、心理发 育、性心理、人际关系、学习能力、个人风格、职业倾向、婚恋和家庭问题、心理防御机制、心身疾病和精神障碍等方面。（提供第三方出具的不少于</w:t>
      </w:r>
      <w:r>
        <w:rPr>
          <w:rFonts w:hint="eastAsia" w:ascii="仿宋_GB2312" w:hAnsi="仿宋_GB2312" w:eastAsia="仿宋_GB2312" w:cs="仿宋_GB2312"/>
          <w:bCs/>
          <w:sz w:val="24"/>
          <w:szCs w:val="24"/>
          <w:lang w:val="en-US" w:eastAsia="zh-CN"/>
        </w:rPr>
        <w:t>260个心理维度的检测报告</w:t>
      </w:r>
      <w:r>
        <w:rPr>
          <w:rFonts w:hint="eastAsia" w:ascii="仿宋_GB2312" w:hAnsi="仿宋_GB2312" w:eastAsia="仿宋_GB2312" w:cs="仿宋_GB2312"/>
          <w:bCs/>
          <w:sz w:val="24"/>
          <w:szCs w:val="24"/>
          <w:lang w:eastAsia="zh-CN"/>
        </w:rPr>
        <w:t>）</w:t>
      </w:r>
    </w:p>
    <w:p w14:paraId="0BAFFFF3">
      <w:pPr>
        <w:ind w:firstLine="482"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
          <w:sz w:val="24"/>
          <w:szCs w:val="24"/>
          <w:lang w:eastAsia="zh-CN"/>
        </w:rPr>
        <w:t>★</w:t>
      </w:r>
      <w:r>
        <w:rPr>
          <w:rFonts w:hint="eastAsia" w:ascii="仿宋_GB2312" w:hAnsi="仿宋_GB2312" w:eastAsia="仿宋_GB2312" w:cs="仿宋_GB2312"/>
          <w:bCs/>
          <w:sz w:val="24"/>
          <w:szCs w:val="24"/>
          <w:lang w:eastAsia="zh-CN"/>
        </w:rPr>
        <w:t>4.不少于十种专业报告版本, 包括精神神经、心理咨询、综合医院、司法鉴定、心理护理、学校咨询、人力资源、家庭婚姻、司机考评和全部报告。（提供检测报告或软件截图）</w:t>
      </w:r>
    </w:p>
    <w:p w14:paraId="00A0C3D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5.心理症状提示，症状符合率达到70%，可为临床精神检查提供重要参考线索。</w:t>
      </w:r>
    </w:p>
    <w:p w14:paraId="66815533">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6.具有测谎功能，多量表控制的测试效度检查和提示。</w:t>
      </w:r>
    </w:p>
    <w:p w14:paraId="0E454CE3">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7.可作为心理疾病的辅助诊断，诊断符合率达到84%以上，Kappa≤0.77，假阳≤1.0%，假阴性:神经症≤2.2%，重性精神病≤4.4%。</w:t>
      </w:r>
    </w:p>
    <w:p w14:paraId="53DCEAF9">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8.可对临床自杀、暴力、吸毒、酗酒等危险行为进行预测。</w:t>
      </w:r>
    </w:p>
    <w:p w14:paraId="3DF40B68">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9.MMPI的题型有200题、399题、566题三个版本可供选择，根据被试情况可灵活选择。</w:t>
      </w:r>
    </w:p>
    <w:p w14:paraId="5F481284">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10.详尽的文字描述的心理报告，有各个心理维度的测试结果。</w:t>
      </w:r>
    </w:p>
    <w:p w14:paraId="412F8737">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11.数据库管理全部资料，可以查看、调用和打印报告。多字段检索，数据导出与常用的统计软件SPSS方便地实现数据转换，进行统计分析。</w:t>
      </w:r>
    </w:p>
    <w:p w14:paraId="11CBBC6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12.专业完整详尽的诊断结果报告，系统可提供纵向报告功能。（提供诊断结果报告样本或截图）</w:t>
      </w:r>
    </w:p>
    <w:p w14:paraId="5D10BACA">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13.CAM-CR详细评分标准敏感性≤0.90，特异性≤0.94，跨效度检验与临床符合率的kappa值≤0.83。</w:t>
      </w:r>
    </w:p>
    <w:p w14:paraId="3FB84B79">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14.含中国临床记忆量表并提供软件著作权登记证书。</w:t>
      </w:r>
    </w:p>
    <w:p w14:paraId="03272AD7">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15.专家经验校标，常模实时动态更新，每年数万例样本数据的采集和分析，确保常模样本的丰富性和完整性，保证报告数据的准确性。</w:t>
      </w:r>
    </w:p>
    <w:p w14:paraId="0BBFE9C7">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16.指导语和题目提供中英文、简繁体等至少四种常模供选择，适合各种人群使用。</w:t>
      </w:r>
    </w:p>
    <w:p w14:paraId="229BD44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17. 心理CT系统支持二维码或套餐访问链接方式，可自由组合不同量表并生成套餐二维码，可设置套餐单次或多次测评，设定的项目内量表自动排列，多个量表的自动显示和进行，同时支持手机或电脑都可访问，适应不同使用场景。</w:t>
      </w:r>
    </w:p>
    <w:p w14:paraId="5AAD71B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18.支持与医院HIS系统对接，支持功能、量表、终端的扩展、升级、更新等。</w:t>
      </w:r>
    </w:p>
    <w:p w14:paraId="0FB64811">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19.整机维保（软、硬件，非人为故意损坏）不少于3年。（提供售后承诺）</w:t>
      </w:r>
    </w:p>
    <w:p w14:paraId="48D08F92">
      <w:pPr>
        <w:jc w:val="both"/>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★二、配置要求</w:t>
      </w:r>
      <w:r>
        <w:rPr>
          <w:rFonts w:hint="eastAsia" w:ascii="仿宋_GB2312" w:hAnsi="仿宋_GB2312" w:eastAsia="仿宋_GB2312" w:cs="仿宋_GB2312"/>
          <w:bCs/>
          <w:sz w:val="24"/>
          <w:szCs w:val="24"/>
          <w:lang w:eastAsia="zh-CN"/>
        </w:rPr>
        <w:t>（提供详细配置清单）</w:t>
      </w:r>
    </w:p>
    <w:p w14:paraId="045006F8">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20、专业服务器 1 套：处理器：四核 ；内存：≥8G； 硬盘：≥1TB 显示器：≥21寸</w:t>
      </w:r>
    </w:p>
    <w:p w14:paraId="07BC68E2">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21、一体机 1 台：处理器：四核 ；内存：≥8G； 硬盘：≥500G 显示器：≥21寸</w:t>
      </w:r>
    </w:p>
    <w:p w14:paraId="43B89E76">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22、平板电脑 1 台：操作系统：安卓或鸿蒙；存储容量：≥4G+64GB；屏幕尺寸：≥8英寸; 支持WiFi、蓝牙等常用通讯功能</w:t>
      </w:r>
    </w:p>
    <w:p w14:paraId="1CDB92BB">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 xml:space="preserve">23、打印机 1 台：激光打印机； </w:t>
      </w:r>
    </w:p>
    <w:p w14:paraId="5E6B90BE">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24、心理 CT 网络系统软件 1 套。</w:t>
      </w:r>
    </w:p>
    <w:p w14:paraId="38E3578F">
      <w:pPr>
        <w:ind w:firstLine="480" w:firstLineChars="2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25、配套常用临床测验软件不应少于列表中内容：</w:t>
      </w:r>
    </w:p>
    <w:tbl>
      <w:tblPr>
        <w:tblStyle w:val="11"/>
        <w:tblW w:w="9067" w:type="dxa"/>
        <w:tblInd w:w="0" w:type="dxa"/>
        <w:tblLayout w:type="autofit"/>
        <w:tblCellMar>
          <w:top w:w="0" w:type="dxa"/>
          <w:left w:w="108" w:type="dxa"/>
          <w:bottom w:w="0" w:type="dxa"/>
          <w:right w:w="108" w:type="dxa"/>
        </w:tblCellMar>
      </w:tblPr>
      <w:tblGrid>
        <w:gridCol w:w="421"/>
        <w:gridCol w:w="2409"/>
        <w:gridCol w:w="441"/>
        <w:gridCol w:w="2678"/>
        <w:gridCol w:w="567"/>
        <w:gridCol w:w="2551"/>
      </w:tblGrid>
      <w:tr w14:paraId="564BBCF3">
        <w:tblPrEx>
          <w:tblCellMar>
            <w:top w:w="0" w:type="dxa"/>
            <w:left w:w="108" w:type="dxa"/>
            <w:bottom w:w="0" w:type="dxa"/>
            <w:right w:w="108" w:type="dxa"/>
          </w:tblCellMar>
        </w:tblPrEx>
        <w:trPr>
          <w:trHeight w:val="20" w:hRule="atLeast"/>
        </w:trPr>
        <w:tc>
          <w:tcPr>
            <w:tcW w:w="42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E5F20">
            <w:pPr>
              <w:widowControl/>
              <w:spacing w:line="240" w:lineRule="exact"/>
              <w:jc w:val="center"/>
              <w:rPr>
                <w:color w:val="000000"/>
                <w:sz w:val="15"/>
                <w:szCs w:val="15"/>
              </w:rPr>
            </w:pPr>
            <w:r>
              <w:rPr>
                <w:rFonts w:hint="eastAsia"/>
                <w:color w:val="000000"/>
                <w:sz w:val="15"/>
                <w:szCs w:val="15"/>
              </w:rPr>
              <w:t>序号</w:t>
            </w:r>
          </w:p>
        </w:tc>
        <w:tc>
          <w:tcPr>
            <w:tcW w:w="2409" w:type="dxa"/>
            <w:tcBorders>
              <w:top w:val="single" w:color="auto" w:sz="4" w:space="0"/>
              <w:left w:val="nil"/>
              <w:bottom w:val="single" w:color="auto" w:sz="4" w:space="0"/>
              <w:right w:val="single" w:color="auto" w:sz="4" w:space="0"/>
            </w:tcBorders>
            <w:shd w:val="clear" w:color="auto" w:fill="auto"/>
            <w:noWrap/>
            <w:vAlign w:val="center"/>
          </w:tcPr>
          <w:p w14:paraId="45350402">
            <w:pPr>
              <w:widowControl/>
              <w:spacing w:line="240" w:lineRule="exact"/>
              <w:jc w:val="center"/>
              <w:rPr>
                <w:color w:val="000000"/>
                <w:sz w:val="15"/>
                <w:szCs w:val="15"/>
              </w:rPr>
            </w:pPr>
            <w:r>
              <w:rPr>
                <w:rFonts w:hint="eastAsia"/>
                <w:color w:val="000000"/>
                <w:sz w:val="15"/>
                <w:szCs w:val="15"/>
              </w:rPr>
              <w:t>项目</w:t>
            </w:r>
          </w:p>
        </w:tc>
        <w:tc>
          <w:tcPr>
            <w:tcW w:w="441" w:type="dxa"/>
            <w:tcBorders>
              <w:top w:val="single" w:color="auto" w:sz="4" w:space="0"/>
              <w:left w:val="nil"/>
              <w:bottom w:val="single" w:color="auto" w:sz="4" w:space="0"/>
              <w:right w:val="single" w:color="auto" w:sz="4" w:space="0"/>
            </w:tcBorders>
            <w:shd w:val="clear" w:color="auto" w:fill="auto"/>
            <w:noWrap/>
            <w:vAlign w:val="center"/>
          </w:tcPr>
          <w:p w14:paraId="3E076A04">
            <w:pPr>
              <w:widowControl/>
              <w:spacing w:line="240" w:lineRule="exact"/>
              <w:jc w:val="center"/>
              <w:rPr>
                <w:color w:val="000000"/>
                <w:sz w:val="15"/>
                <w:szCs w:val="15"/>
              </w:rPr>
            </w:pPr>
            <w:r>
              <w:rPr>
                <w:rFonts w:hint="eastAsia"/>
                <w:color w:val="000000"/>
                <w:sz w:val="15"/>
                <w:szCs w:val="15"/>
              </w:rPr>
              <w:t>序号</w:t>
            </w:r>
          </w:p>
        </w:tc>
        <w:tc>
          <w:tcPr>
            <w:tcW w:w="2678" w:type="dxa"/>
            <w:tcBorders>
              <w:top w:val="single" w:color="auto" w:sz="4" w:space="0"/>
              <w:left w:val="nil"/>
              <w:bottom w:val="single" w:color="auto" w:sz="4" w:space="0"/>
              <w:right w:val="single" w:color="auto" w:sz="4" w:space="0"/>
            </w:tcBorders>
            <w:shd w:val="clear" w:color="auto" w:fill="auto"/>
            <w:noWrap/>
            <w:vAlign w:val="center"/>
          </w:tcPr>
          <w:p w14:paraId="0EF8F6F3">
            <w:pPr>
              <w:widowControl/>
              <w:spacing w:line="240" w:lineRule="exact"/>
              <w:jc w:val="center"/>
              <w:rPr>
                <w:color w:val="000000"/>
                <w:sz w:val="15"/>
                <w:szCs w:val="15"/>
              </w:rPr>
            </w:pPr>
            <w:r>
              <w:rPr>
                <w:rFonts w:hint="eastAsia"/>
                <w:color w:val="000000"/>
                <w:sz w:val="15"/>
                <w:szCs w:val="15"/>
              </w:rPr>
              <w:t>项目</w:t>
            </w:r>
          </w:p>
        </w:tc>
        <w:tc>
          <w:tcPr>
            <w:tcW w:w="567" w:type="dxa"/>
            <w:tcBorders>
              <w:top w:val="single" w:color="auto" w:sz="4" w:space="0"/>
              <w:left w:val="nil"/>
              <w:bottom w:val="single" w:color="auto" w:sz="4" w:space="0"/>
              <w:right w:val="single" w:color="auto" w:sz="4" w:space="0"/>
            </w:tcBorders>
            <w:shd w:val="clear" w:color="auto" w:fill="auto"/>
            <w:noWrap/>
            <w:vAlign w:val="center"/>
          </w:tcPr>
          <w:p w14:paraId="4B6C0D5B">
            <w:pPr>
              <w:widowControl/>
              <w:spacing w:line="240" w:lineRule="exact"/>
              <w:jc w:val="center"/>
              <w:rPr>
                <w:color w:val="000000"/>
                <w:sz w:val="15"/>
                <w:szCs w:val="15"/>
              </w:rPr>
            </w:pPr>
            <w:r>
              <w:rPr>
                <w:rFonts w:hint="eastAsia"/>
                <w:color w:val="000000"/>
                <w:sz w:val="15"/>
                <w:szCs w:val="15"/>
              </w:rPr>
              <w:t>序号</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8381C16">
            <w:pPr>
              <w:widowControl/>
              <w:spacing w:line="240" w:lineRule="exact"/>
              <w:jc w:val="center"/>
              <w:rPr>
                <w:color w:val="000000"/>
                <w:sz w:val="15"/>
                <w:szCs w:val="15"/>
              </w:rPr>
            </w:pPr>
            <w:r>
              <w:rPr>
                <w:rFonts w:hint="eastAsia"/>
                <w:color w:val="000000"/>
                <w:sz w:val="15"/>
                <w:szCs w:val="15"/>
              </w:rPr>
              <w:t>项目</w:t>
            </w:r>
          </w:p>
        </w:tc>
      </w:tr>
      <w:tr w14:paraId="658531D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708B649">
            <w:pPr>
              <w:widowControl/>
              <w:spacing w:line="240" w:lineRule="exact"/>
              <w:jc w:val="center"/>
              <w:rPr>
                <w:color w:val="000000"/>
                <w:sz w:val="15"/>
                <w:szCs w:val="15"/>
              </w:rPr>
            </w:pPr>
            <w:r>
              <w:rPr>
                <w:rFonts w:hint="eastAsia"/>
                <w:color w:val="000000"/>
                <w:sz w:val="15"/>
                <w:szCs w:val="15"/>
              </w:rPr>
              <w:t>1</w:t>
            </w:r>
          </w:p>
        </w:tc>
        <w:tc>
          <w:tcPr>
            <w:tcW w:w="2409" w:type="dxa"/>
            <w:tcBorders>
              <w:top w:val="nil"/>
              <w:left w:val="nil"/>
              <w:bottom w:val="single" w:color="auto" w:sz="4" w:space="0"/>
              <w:right w:val="single" w:color="auto" w:sz="4" w:space="0"/>
            </w:tcBorders>
            <w:shd w:val="clear" w:color="auto" w:fill="auto"/>
            <w:noWrap/>
            <w:vAlign w:val="center"/>
          </w:tcPr>
          <w:p w14:paraId="3D5D83ED">
            <w:pPr>
              <w:widowControl/>
              <w:spacing w:line="240" w:lineRule="exact"/>
              <w:jc w:val="center"/>
              <w:rPr>
                <w:color w:val="000000"/>
                <w:sz w:val="15"/>
                <w:szCs w:val="15"/>
              </w:rPr>
            </w:pPr>
            <w:r>
              <w:rPr>
                <w:rFonts w:hint="eastAsia"/>
                <w:color w:val="000000"/>
                <w:sz w:val="15"/>
                <w:szCs w:val="15"/>
              </w:rPr>
              <w:t>卡特尔 16 项人格测验</w:t>
            </w:r>
          </w:p>
        </w:tc>
        <w:tc>
          <w:tcPr>
            <w:tcW w:w="441" w:type="dxa"/>
            <w:tcBorders>
              <w:top w:val="nil"/>
              <w:left w:val="nil"/>
              <w:bottom w:val="single" w:color="auto" w:sz="4" w:space="0"/>
              <w:right w:val="single" w:color="auto" w:sz="4" w:space="0"/>
            </w:tcBorders>
            <w:shd w:val="clear" w:color="auto" w:fill="auto"/>
            <w:noWrap/>
            <w:vAlign w:val="center"/>
          </w:tcPr>
          <w:p w14:paraId="15BA923B">
            <w:pPr>
              <w:widowControl/>
              <w:spacing w:line="240" w:lineRule="exact"/>
              <w:jc w:val="center"/>
              <w:rPr>
                <w:color w:val="000000"/>
                <w:sz w:val="15"/>
                <w:szCs w:val="15"/>
              </w:rPr>
            </w:pPr>
            <w:r>
              <w:rPr>
                <w:rFonts w:hint="eastAsia"/>
                <w:color w:val="000000"/>
                <w:sz w:val="15"/>
                <w:szCs w:val="15"/>
              </w:rPr>
              <w:t>69</w:t>
            </w:r>
          </w:p>
        </w:tc>
        <w:tc>
          <w:tcPr>
            <w:tcW w:w="2678" w:type="dxa"/>
            <w:tcBorders>
              <w:top w:val="nil"/>
              <w:left w:val="nil"/>
              <w:bottom w:val="single" w:color="auto" w:sz="4" w:space="0"/>
              <w:right w:val="single" w:color="auto" w:sz="4" w:space="0"/>
            </w:tcBorders>
            <w:shd w:val="clear" w:color="auto" w:fill="auto"/>
            <w:noWrap/>
            <w:vAlign w:val="center"/>
          </w:tcPr>
          <w:p w14:paraId="2E00660F">
            <w:pPr>
              <w:widowControl/>
              <w:spacing w:line="240" w:lineRule="exact"/>
              <w:jc w:val="center"/>
              <w:rPr>
                <w:color w:val="000000"/>
                <w:sz w:val="15"/>
                <w:szCs w:val="15"/>
              </w:rPr>
            </w:pPr>
            <w:r>
              <w:rPr>
                <w:rFonts w:hint="eastAsia"/>
                <w:color w:val="000000"/>
                <w:sz w:val="15"/>
                <w:szCs w:val="15"/>
              </w:rPr>
              <w:t>一般健康问卷</w:t>
            </w:r>
          </w:p>
        </w:tc>
        <w:tc>
          <w:tcPr>
            <w:tcW w:w="567" w:type="dxa"/>
            <w:tcBorders>
              <w:top w:val="nil"/>
              <w:left w:val="nil"/>
              <w:bottom w:val="single" w:color="auto" w:sz="4" w:space="0"/>
              <w:right w:val="single" w:color="auto" w:sz="4" w:space="0"/>
            </w:tcBorders>
            <w:shd w:val="clear" w:color="auto" w:fill="auto"/>
            <w:noWrap/>
            <w:vAlign w:val="center"/>
          </w:tcPr>
          <w:p w14:paraId="7F4DB5DC">
            <w:pPr>
              <w:widowControl/>
              <w:spacing w:line="240" w:lineRule="exact"/>
              <w:jc w:val="center"/>
              <w:rPr>
                <w:color w:val="000000"/>
                <w:sz w:val="15"/>
                <w:szCs w:val="15"/>
              </w:rPr>
            </w:pPr>
            <w:r>
              <w:rPr>
                <w:rFonts w:hint="eastAsia"/>
                <w:color w:val="000000"/>
                <w:sz w:val="15"/>
                <w:szCs w:val="15"/>
              </w:rPr>
              <w:t>137</w:t>
            </w:r>
          </w:p>
        </w:tc>
        <w:tc>
          <w:tcPr>
            <w:tcW w:w="2551" w:type="dxa"/>
            <w:tcBorders>
              <w:top w:val="nil"/>
              <w:left w:val="nil"/>
              <w:bottom w:val="single" w:color="auto" w:sz="4" w:space="0"/>
              <w:right w:val="single" w:color="auto" w:sz="4" w:space="0"/>
            </w:tcBorders>
            <w:shd w:val="clear" w:color="auto" w:fill="auto"/>
            <w:noWrap/>
            <w:vAlign w:val="center"/>
          </w:tcPr>
          <w:p w14:paraId="769692B7">
            <w:pPr>
              <w:widowControl/>
              <w:spacing w:line="240" w:lineRule="exact"/>
              <w:jc w:val="center"/>
              <w:rPr>
                <w:color w:val="000000"/>
                <w:sz w:val="15"/>
                <w:szCs w:val="15"/>
              </w:rPr>
            </w:pPr>
            <w:r>
              <w:rPr>
                <w:rFonts w:hint="eastAsia"/>
                <w:color w:val="000000"/>
                <w:sz w:val="15"/>
                <w:szCs w:val="15"/>
              </w:rPr>
              <w:t>气质量表</w:t>
            </w:r>
          </w:p>
        </w:tc>
      </w:tr>
      <w:tr w14:paraId="3A4BDBE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B9E84AD">
            <w:pPr>
              <w:widowControl/>
              <w:spacing w:line="240" w:lineRule="exact"/>
              <w:jc w:val="center"/>
              <w:rPr>
                <w:color w:val="000000"/>
                <w:sz w:val="15"/>
                <w:szCs w:val="15"/>
              </w:rPr>
            </w:pPr>
            <w:r>
              <w:rPr>
                <w:rFonts w:hint="eastAsia"/>
                <w:color w:val="000000"/>
                <w:sz w:val="15"/>
                <w:szCs w:val="15"/>
              </w:rPr>
              <w:t>2</w:t>
            </w:r>
          </w:p>
        </w:tc>
        <w:tc>
          <w:tcPr>
            <w:tcW w:w="2409" w:type="dxa"/>
            <w:tcBorders>
              <w:top w:val="nil"/>
              <w:left w:val="nil"/>
              <w:bottom w:val="single" w:color="auto" w:sz="4" w:space="0"/>
              <w:right w:val="single" w:color="auto" w:sz="4" w:space="0"/>
            </w:tcBorders>
            <w:shd w:val="clear" w:color="auto" w:fill="auto"/>
            <w:noWrap/>
            <w:vAlign w:val="center"/>
          </w:tcPr>
          <w:p w14:paraId="44F3BD46">
            <w:pPr>
              <w:widowControl/>
              <w:spacing w:line="240" w:lineRule="exact"/>
              <w:jc w:val="center"/>
              <w:rPr>
                <w:color w:val="000000"/>
                <w:sz w:val="15"/>
                <w:szCs w:val="15"/>
                <w:lang w:eastAsia="zh-CN"/>
              </w:rPr>
            </w:pPr>
            <w:r>
              <w:rPr>
                <w:rFonts w:hint="eastAsia"/>
                <w:color w:val="000000"/>
                <w:sz w:val="15"/>
                <w:szCs w:val="15"/>
                <w:lang w:eastAsia="zh-CN"/>
              </w:rPr>
              <w:t>儿童孤独症行为评定量表</w:t>
            </w:r>
          </w:p>
        </w:tc>
        <w:tc>
          <w:tcPr>
            <w:tcW w:w="441" w:type="dxa"/>
            <w:tcBorders>
              <w:top w:val="nil"/>
              <w:left w:val="nil"/>
              <w:bottom w:val="single" w:color="auto" w:sz="4" w:space="0"/>
              <w:right w:val="single" w:color="auto" w:sz="4" w:space="0"/>
            </w:tcBorders>
            <w:shd w:val="clear" w:color="auto" w:fill="auto"/>
            <w:noWrap/>
            <w:vAlign w:val="center"/>
          </w:tcPr>
          <w:p w14:paraId="69BA7635">
            <w:pPr>
              <w:widowControl/>
              <w:spacing w:line="240" w:lineRule="exact"/>
              <w:jc w:val="center"/>
              <w:rPr>
                <w:color w:val="000000"/>
                <w:sz w:val="15"/>
                <w:szCs w:val="15"/>
              </w:rPr>
            </w:pPr>
            <w:r>
              <w:rPr>
                <w:rFonts w:hint="eastAsia"/>
                <w:color w:val="000000"/>
                <w:sz w:val="15"/>
                <w:szCs w:val="15"/>
              </w:rPr>
              <w:t>70</w:t>
            </w:r>
          </w:p>
        </w:tc>
        <w:tc>
          <w:tcPr>
            <w:tcW w:w="2678" w:type="dxa"/>
            <w:tcBorders>
              <w:top w:val="nil"/>
              <w:left w:val="nil"/>
              <w:bottom w:val="single" w:color="auto" w:sz="4" w:space="0"/>
              <w:right w:val="single" w:color="auto" w:sz="4" w:space="0"/>
            </w:tcBorders>
            <w:shd w:val="clear" w:color="auto" w:fill="auto"/>
            <w:noWrap/>
            <w:vAlign w:val="center"/>
          </w:tcPr>
          <w:p w14:paraId="68D7A5C9">
            <w:pPr>
              <w:widowControl/>
              <w:spacing w:line="240" w:lineRule="exact"/>
              <w:jc w:val="center"/>
              <w:rPr>
                <w:color w:val="000000"/>
                <w:sz w:val="15"/>
                <w:szCs w:val="15"/>
                <w:lang w:eastAsia="zh-CN"/>
              </w:rPr>
            </w:pPr>
            <w:r>
              <w:rPr>
                <w:rFonts w:hint="eastAsia"/>
                <w:color w:val="000000"/>
                <w:sz w:val="15"/>
                <w:szCs w:val="15"/>
                <w:lang w:eastAsia="zh-CN"/>
              </w:rPr>
              <w:t>生活质量综合评定问卷</w:t>
            </w:r>
          </w:p>
        </w:tc>
        <w:tc>
          <w:tcPr>
            <w:tcW w:w="567" w:type="dxa"/>
            <w:tcBorders>
              <w:top w:val="nil"/>
              <w:left w:val="nil"/>
              <w:bottom w:val="single" w:color="auto" w:sz="4" w:space="0"/>
              <w:right w:val="single" w:color="auto" w:sz="4" w:space="0"/>
            </w:tcBorders>
            <w:shd w:val="clear" w:color="auto" w:fill="auto"/>
            <w:noWrap/>
            <w:vAlign w:val="center"/>
          </w:tcPr>
          <w:p w14:paraId="5A2A9A38">
            <w:pPr>
              <w:widowControl/>
              <w:spacing w:line="240" w:lineRule="exact"/>
              <w:jc w:val="center"/>
              <w:rPr>
                <w:color w:val="000000"/>
                <w:sz w:val="15"/>
                <w:szCs w:val="15"/>
              </w:rPr>
            </w:pPr>
            <w:r>
              <w:rPr>
                <w:rFonts w:hint="eastAsia"/>
                <w:color w:val="000000"/>
                <w:sz w:val="15"/>
                <w:szCs w:val="15"/>
              </w:rPr>
              <w:t>138</w:t>
            </w:r>
          </w:p>
        </w:tc>
        <w:tc>
          <w:tcPr>
            <w:tcW w:w="2551" w:type="dxa"/>
            <w:tcBorders>
              <w:top w:val="nil"/>
              <w:left w:val="nil"/>
              <w:bottom w:val="single" w:color="auto" w:sz="4" w:space="0"/>
              <w:right w:val="single" w:color="auto" w:sz="4" w:space="0"/>
            </w:tcBorders>
            <w:shd w:val="clear" w:color="auto" w:fill="auto"/>
            <w:noWrap/>
            <w:vAlign w:val="center"/>
          </w:tcPr>
          <w:p w14:paraId="3286370F">
            <w:pPr>
              <w:widowControl/>
              <w:spacing w:line="240" w:lineRule="exact"/>
              <w:jc w:val="center"/>
              <w:rPr>
                <w:color w:val="000000"/>
                <w:sz w:val="15"/>
                <w:szCs w:val="15"/>
              </w:rPr>
            </w:pPr>
            <w:r>
              <w:rPr>
                <w:rFonts w:hint="eastAsia"/>
                <w:color w:val="000000"/>
                <w:sz w:val="15"/>
                <w:szCs w:val="15"/>
              </w:rPr>
              <w:t>瑞文推理测验</w:t>
            </w:r>
          </w:p>
        </w:tc>
      </w:tr>
      <w:tr w14:paraId="766D075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33E66D1">
            <w:pPr>
              <w:widowControl/>
              <w:spacing w:line="240" w:lineRule="exact"/>
              <w:jc w:val="center"/>
              <w:rPr>
                <w:color w:val="000000"/>
                <w:sz w:val="15"/>
                <w:szCs w:val="15"/>
              </w:rPr>
            </w:pPr>
            <w:r>
              <w:rPr>
                <w:rFonts w:hint="eastAsia"/>
                <w:color w:val="000000"/>
                <w:sz w:val="15"/>
                <w:szCs w:val="15"/>
              </w:rPr>
              <w:t>3</w:t>
            </w:r>
          </w:p>
        </w:tc>
        <w:tc>
          <w:tcPr>
            <w:tcW w:w="2409" w:type="dxa"/>
            <w:tcBorders>
              <w:top w:val="nil"/>
              <w:left w:val="nil"/>
              <w:bottom w:val="single" w:color="auto" w:sz="4" w:space="0"/>
              <w:right w:val="single" w:color="auto" w:sz="4" w:space="0"/>
            </w:tcBorders>
            <w:shd w:val="clear" w:color="auto" w:fill="auto"/>
            <w:noWrap/>
            <w:vAlign w:val="center"/>
          </w:tcPr>
          <w:p w14:paraId="19A0245C">
            <w:pPr>
              <w:widowControl/>
              <w:spacing w:line="240" w:lineRule="exact"/>
              <w:jc w:val="center"/>
              <w:rPr>
                <w:color w:val="000000"/>
                <w:sz w:val="15"/>
                <w:szCs w:val="15"/>
                <w:lang w:eastAsia="zh-CN"/>
              </w:rPr>
            </w:pPr>
            <w:r>
              <w:rPr>
                <w:rFonts w:hint="eastAsia"/>
                <w:color w:val="000000"/>
                <w:sz w:val="15"/>
                <w:szCs w:val="15"/>
                <w:lang w:eastAsia="zh-CN"/>
              </w:rPr>
              <w:t>阿茨海默病评估量表-认知</w:t>
            </w:r>
          </w:p>
        </w:tc>
        <w:tc>
          <w:tcPr>
            <w:tcW w:w="441" w:type="dxa"/>
            <w:tcBorders>
              <w:top w:val="nil"/>
              <w:left w:val="nil"/>
              <w:bottom w:val="single" w:color="auto" w:sz="4" w:space="0"/>
              <w:right w:val="single" w:color="auto" w:sz="4" w:space="0"/>
            </w:tcBorders>
            <w:shd w:val="clear" w:color="auto" w:fill="auto"/>
            <w:noWrap/>
            <w:vAlign w:val="center"/>
          </w:tcPr>
          <w:p w14:paraId="5B60A9A3">
            <w:pPr>
              <w:widowControl/>
              <w:spacing w:line="240" w:lineRule="exact"/>
              <w:jc w:val="center"/>
              <w:rPr>
                <w:color w:val="000000"/>
                <w:sz w:val="15"/>
                <w:szCs w:val="15"/>
              </w:rPr>
            </w:pPr>
            <w:r>
              <w:rPr>
                <w:rFonts w:hint="eastAsia"/>
                <w:color w:val="000000"/>
                <w:sz w:val="15"/>
                <w:szCs w:val="15"/>
              </w:rPr>
              <w:t>71</w:t>
            </w:r>
          </w:p>
        </w:tc>
        <w:tc>
          <w:tcPr>
            <w:tcW w:w="2678" w:type="dxa"/>
            <w:tcBorders>
              <w:top w:val="nil"/>
              <w:left w:val="nil"/>
              <w:bottom w:val="single" w:color="auto" w:sz="4" w:space="0"/>
              <w:right w:val="single" w:color="auto" w:sz="4" w:space="0"/>
            </w:tcBorders>
            <w:shd w:val="clear" w:color="auto" w:fill="auto"/>
            <w:noWrap/>
            <w:vAlign w:val="center"/>
          </w:tcPr>
          <w:p w14:paraId="440A5AFD">
            <w:pPr>
              <w:widowControl/>
              <w:spacing w:line="240" w:lineRule="exact"/>
              <w:jc w:val="center"/>
              <w:rPr>
                <w:color w:val="000000"/>
                <w:sz w:val="15"/>
                <w:szCs w:val="15"/>
              </w:rPr>
            </w:pPr>
            <w:r>
              <w:rPr>
                <w:rFonts w:hint="eastAsia"/>
                <w:color w:val="000000"/>
                <w:sz w:val="15"/>
                <w:szCs w:val="15"/>
              </w:rPr>
              <w:t>一般自我效能感量表</w:t>
            </w:r>
          </w:p>
        </w:tc>
        <w:tc>
          <w:tcPr>
            <w:tcW w:w="567" w:type="dxa"/>
            <w:tcBorders>
              <w:top w:val="nil"/>
              <w:left w:val="nil"/>
              <w:bottom w:val="single" w:color="auto" w:sz="4" w:space="0"/>
              <w:right w:val="single" w:color="auto" w:sz="4" w:space="0"/>
            </w:tcBorders>
            <w:shd w:val="clear" w:color="auto" w:fill="auto"/>
            <w:noWrap/>
            <w:vAlign w:val="center"/>
          </w:tcPr>
          <w:p w14:paraId="25318281">
            <w:pPr>
              <w:widowControl/>
              <w:spacing w:line="240" w:lineRule="exact"/>
              <w:jc w:val="center"/>
              <w:rPr>
                <w:color w:val="000000"/>
                <w:sz w:val="15"/>
                <w:szCs w:val="15"/>
              </w:rPr>
            </w:pPr>
            <w:r>
              <w:rPr>
                <w:rFonts w:hint="eastAsia"/>
                <w:color w:val="000000"/>
                <w:sz w:val="15"/>
                <w:szCs w:val="15"/>
              </w:rPr>
              <w:t>139</w:t>
            </w:r>
          </w:p>
        </w:tc>
        <w:tc>
          <w:tcPr>
            <w:tcW w:w="2551" w:type="dxa"/>
            <w:tcBorders>
              <w:top w:val="nil"/>
              <w:left w:val="nil"/>
              <w:bottom w:val="single" w:color="auto" w:sz="4" w:space="0"/>
              <w:right w:val="single" w:color="auto" w:sz="4" w:space="0"/>
            </w:tcBorders>
            <w:shd w:val="clear" w:color="auto" w:fill="auto"/>
            <w:noWrap/>
            <w:vAlign w:val="center"/>
          </w:tcPr>
          <w:p w14:paraId="19A2A36B">
            <w:pPr>
              <w:widowControl/>
              <w:spacing w:line="240" w:lineRule="exact"/>
              <w:jc w:val="center"/>
              <w:rPr>
                <w:color w:val="000000"/>
                <w:sz w:val="15"/>
                <w:szCs w:val="15"/>
                <w:lang w:eastAsia="zh-CN"/>
              </w:rPr>
            </w:pPr>
            <w:r>
              <w:rPr>
                <w:rFonts w:hint="eastAsia"/>
                <w:color w:val="000000"/>
                <w:sz w:val="15"/>
                <w:szCs w:val="15"/>
                <w:lang w:eastAsia="zh-CN"/>
              </w:rPr>
              <w:t>快速眼动期睡眠行为障碍量表</w:t>
            </w:r>
          </w:p>
        </w:tc>
      </w:tr>
      <w:tr w14:paraId="2BBD6DA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ECC1135">
            <w:pPr>
              <w:widowControl/>
              <w:spacing w:line="240" w:lineRule="exact"/>
              <w:jc w:val="center"/>
              <w:rPr>
                <w:color w:val="000000"/>
                <w:sz w:val="15"/>
                <w:szCs w:val="15"/>
              </w:rPr>
            </w:pPr>
            <w:r>
              <w:rPr>
                <w:rFonts w:hint="eastAsia"/>
                <w:color w:val="000000"/>
                <w:sz w:val="15"/>
                <w:szCs w:val="15"/>
              </w:rPr>
              <w:t>4</w:t>
            </w:r>
          </w:p>
        </w:tc>
        <w:tc>
          <w:tcPr>
            <w:tcW w:w="2409" w:type="dxa"/>
            <w:tcBorders>
              <w:top w:val="nil"/>
              <w:left w:val="nil"/>
              <w:bottom w:val="single" w:color="auto" w:sz="4" w:space="0"/>
              <w:right w:val="single" w:color="auto" w:sz="4" w:space="0"/>
            </w:tcBorders>
            <w:shd w:val="clear" w:color="auto" w:fill="auto"/>
            <w:noWrap/>
            <w:vAlign w:val="center"/>
          </w:tcPr>
          <w:p w14:paraId="4C9D405A">
            <w:pPr>
              <w:widowControl/>
              <w:spacing w:line="240" w:lineRule="exact"/>
              <w:jc w:val="center"/>
              <w:rPr>
                <w:color w:val="000000"/>
                <w:sz w:val="15"/>
                <w:szCs w:val="15"/>
                <w:lang w:eastAsia="zh-CN"/>
              </w:rPr>
            </w:pPr>
            <w:r>
              <w:rPr>
                <w:rFonts w:hint="eastAsia"/>
                <w:color w:val="000000"/>
                <w:sz w:val="15"/>
                <w:szCs w:val="15"/>
                <w:lang w:eastAsia="zh-CN"/>
              </w:rPr>
              <w:t>阿茨海默病协作研究-日常活动清单</w:t>
            </w:r>
          </w:p>
        </w:tc>
        <w:tc>
          <w:tcPr>
            <w:tcW w:w="441" w:type="dxa"/>
            <w:tcBorders>
              <w:top w:val="nil"/>
              <w:left w:val="nil"/>
              <w:bottom w:val="single" w:color="auto" w:sz="4" w:space="0"/>
              <w:right w:val="single" w:color="auto" w:sz="4" w:space="0"/>
            </w:tcBorders>
            <w:shd w:val="clear" w:color="auto" w:fill="auto"/>
            <w:noWrap/>
            <w:vAlign w:val="center"/>
          </w:tcPr>
          <w:p w14:paraId="525E34A1">
            <w:pPr>
              <w:widowControl/>
              <w:spacing w:line="240" w:lineRule="exact"/>
              <w:jc w:val="center"/>
              <w:rPr>
                <w:color w:val="000000"/>
                <w:sz w:val="15"/>
                <w:szCs w:val="15"/>
              </w:rPr>
            </w:pPr>
            <w:r>
              <w:rPr>
                <w:rFonts w:hint="eastAsia"/>
                <w:color w:val="000000"/>
                <w:sz w:val="15"/>
                <w:szCs w:val="15"/>
              </w:rPr>
              <w:t>72</w:t>
            </w:r>
          </w:p>
        </w:tc>
        <w:tc>
          <w:tcPr>
            <w:tcW w:w="2678" w:type="dxa"/>
            <w:tcBorders>
              <w:top w:val="nil"/>
              <w:left w:val="nil"/>
              <w:bottom w:val="single" w:color="auto" w:sz="4" w:space="0"/>
              <w:right w:val="single" w:color="auto" w:sz="4" w:space="0"/>
            </w:tcBorders>
            <w:shd w:val="clear" w:color="auto" w:fill="auto"/>
            <w:noWrap/>
            <w:vAlign w:val="center"/>
          </w:tcPr>
          <w:p w14:paraId="38F7C064">
            <w:pPr>
              <w:widowControl/>
              <w:spacing w:line="240" w:lineRule="exact"/>
              <w:jc w:val="center"/>
              <w:rPr>
                <w:color w:val="000000"/>
                <w:sz w:val="15"/>
                <w:szCs w:val="15"/>
                <w:lang w:eastAsia="zh-CN"/>
              </w:rPr>
            </w:pPr>
            <w:r>
              <w:rPr>
                <w:rFonts w:hint="eastAsia"/>
                <w:color w:val="000000"/>
                <w:sz w:val="15"/>
                <w:szCs w:val="15"/>
                <w:lang w:eastAsia="zh-CN"/>
              </w:rPr>
              <w:t>心理 CT 系统（明尼苏达多项个性测验）</w:t>
            </w:r>
          </w:p>
        </w:tc>
        <w:tc>
          <w:tcPr>
            <w:tcW w:w="567" w:type="dxa"/>
            <w:tcBorders>
              <w:top w:val="nil"/>
              <w:left w:val="nil"/>
              <w:bottom w:val="single" w:color="auto" w:sz="4" w:space="0"/>
              <w:right w:val="single" w:color="auto" w:sz="4" w:space="0"/>
            </w:tcBorders>
            <w:shd w:val="clear" w:color="auto" w:fill="auto"/>
            <w:noWrap/>
            <w:vAlign w:val="center"/>
          </w:tcPr>
          <w:p w14:paraId="2B329AA8">
            <w:pPr>
              <w:widowControl/>
              <w:spacing w:line="240" w:lineRule="exact"/>
              <w:jc w:val="center"/>
              <w:rPr>
                <w:color w:val="000000"/>
                <w:sz w:val="15"/>
                <w:szCs w:val="15"/>
              </w:rPr>
            </w:pPr>
            <w:r>
              <w:rPr>
                <w:rFonts w:hint="eastAsia"/>
                <w:color w:val="000000"/>
                <w:sz w:val="15"/>
                <w:szCs w:val="15"/>
              </w:rPr>
              <w:t>140</w:t>
            </w:r>
          </w:p>
        </w:tc>
        <w:tc>
          <w:tcPr>
            <w:tcW w:w="2551" w:type="dxa"/>
            <w:tcBorders>
              <w:top w:val="nil"/>
              <w:left w:val="nil"/>
              <w:bottom w:val="single" w:color="auto" w:sz="4" w:space="0"/>
              <w:right w:val="single" w:color="auto" w:sz="4" w:space="0"/>
            </w:tcBorders>
            <w:shd w:val="clear" w:color="auto" w:fill="auto"/>
            <w:noWrap/>
            <w:vAlign w:val="center"/>
          </w:tcPr>
          <w:p w14:paraId="5E588543">
            <w:pPr>
              <w:widowControl/>
              <w:spacing w:line="240" w:lineRule="exact"/>
              <w:jc w:val="center"/>
              <w:rPr>
                <w:color w:val="000000"/>
                <w:sz w:val="15"/>
                <w:szCs w:val="15"/>
              </w:rPr>
            </w:pPr>
            <w:r>
              <w:rPr>
                <w:rFonts w:hint="eastAsia"/>
                <w:color w:val="000000"/>
                <w:sz w:val="15"/>
                <w:szCs w:val="15"/>
              </w:rPr>
              <w:t>Rutter 儿童行为问卷-父母</w:t>
            </w:r>
          </w:p>
        </w:tc>
      </w:tr>
      <w:tr w14:paraId="6CBF49D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39BB897">
            <w:pPr>
              <w:widowControl/>
              <w:spacing w:line="240" w:lineRule="exact"/>
              <w:jc w:val="center"/>
              <w:rPr>
                <w:color w:val="000000"/>
                <w:sz w:val="15"/>
                <w:szCs w:val="15"/>
              </w:rPr>
            </w:pPr>
            <w:r>
              <w:rPr>
                <w:rFonts w:hint="eastAsia"/>
                <w:color w:val="000000"/>
                <w:sz w:val="15"/>
                <w:szCs w:val="15"/>
              </w:rPr>
              <w:t>5</w:t>
            </w:r>
          </w:p>
        </w:tc>
        <w:tc>
          <w:tcPr>
            <w:tcW w:w="2409" w:type="dxa"/>
            <w:tcBorders>
              <w:top w:val="nil"/>
              <w:left w:val="nil"/>
              <w:bottom w:val="single" w:color="auto" w:sz="4" w:space="0"/>
              <w:right w:val="single" w:color="auto" w:sz="4" w:space="0"/>
            </w:tcBorders>
            <w:shd w:val="clear" w:color="auto" w:fill="auto"/>
            <w:noWrap/>
            <w:vAlign w:val="center"/>
          </w:tcPr>
          <w:p w14:paraId="2EB0AF83">
            <w:pPr>
              <w:widowControl/>
              <w:spacing w:line="240" w:lineRule="exact"/>
              <w:jc w:val="center"/>
              <w:rPr>
                <w:color w:val="000000"/>
                <w:sz w:val="15"/>
                <w:szCs w:val="15"/>
                <w:lang w:eastAsia="zh-CN"/>
              </w:rPr>
            </w:pPr>
            <w:r>
              <w:rPr>
                <w:rFonts w:hint="eastAsia"/>
                <w:color w:val="000000"/>
                <w:sz w:val="15"/>
                <w:szCs w:val="15"/>
                <w:lang w:eastAsia="zh-CN"/>
              </w:rPr>
              <w:t>日常生活能力评定量表</w:t>
            </w:r>
          </w:p>
        </w:tc>
        <w:tc>
          <w:tcPr>
            <w:tcW w:w="441" w:type="dxa"/>
            <w:tcBorders>
              <w:top w:val="nil"/>
              <w:left w:val="nil"/>
              <w:bottom w:val="single" w:color="auto" w:sz="4" w:space="0"/>
              <w:right w:val="single" w:color="auto" w:sz="4" w:space="0"/>
            </w:tcBorders>
            <w:shd w:val="clear" w:color="auto" w:fill="auto"/>
            <w:noWrap/>
            <w:vAlign w:val="center"/>
          </w:tcPr>
          <w:p w14:paraId="4D0B4874">
            <w:pPr>
              <w:widowControl/>
              <w:spacing w:line="240" w:lineRule="exact"/>
              <w:jc w:val="center"/>
              <w:rPr>
                <w:color w:val="000000"/>
                <w:sz w:val="15"/>
                <w:szCs w:val="15"/>
              </w:rPr>
            </w:pPr>
            <w:r>
              <w:rPr>
                <w:rFonts w:hint="eastAsia"/>
                <w:color w:val="000000"/>
                <w:sz w:val="15"/>
                <w:szCs w:val="15"/>
              </w:rPr>
              <w:t>73</w:t>
            </w:r>
          </w:p>
        </w:tc>
        <w:tc>
          <w:tcPr>
            <w:tcW w:w="2678" w:type="dxa"/>
            <w:tcBorders>
              <w:top w:val="nil"/>
              <w:left w:val="nil"/>
              <w:bottom w:val="single" w:color="auto" w:sz="4" w:space="0"/>
              <w:right w:val="single" w:color="auto" w:sz="4" w:space="0"/>
            </w:tcBorders>
            <w:shd w:val="clear" w:color="auto" w:fill="auto"/>
            <w:noWrap/>
            <w:vAlign w:val="center"/>
          </w:tcPr>
          <w:p w14:paraId="5BE73B65">
            <w:pPr>
              <w:widowControl/>
              <w:spacing w:line="240" w:lineRule="exact"/>
              <w:jc w:val="center"/>
              <w:rPr>
                <w:color w:val="000000"/>
                <w:sz w:val="15"/>
                <w:szCs w:val="15"/>
              </w:rPr>
            </w:pPr>
            <w:r>
              <w:rPr>
                <w:rFonts w:hint="eastAsia"/>
                <w:color w:val="000000"/>
                <w:sz w:val="15"/>
                <w:szCs w:val="15"/>
              </w:rPr>
              <w:t>医院焦虑抑郁量表</w:t>
            </w:r>
          </w:p>
        </w:tc>
        <w:tc>
          <w:tcPr>
            <w:tcW w:w="567" w:type="dxa"/>
            <w:tcBorders>
              <w:top w:val="nil"/>
              <w:left w:val="nil"/>
              <w:bottom w:val="single" w:color="auto" w:sz="4" w:space="0"/>
              <w:right w:val="single" w:color="auto" w:sz="4" w:space="0"/>
            </w:tcBorders>
            <w:shd w:val="clear" w:color="auto" w:fill="auto"/>
            <w:noWrap/>
            <w:vAlign w:val="center"/>
          </w:tcPr>
          <w:p w14:paraId="026A822D">
            <w:pPr>
              <w:widowControl/>
              <w:spacing w:line="240" w:lineRule="exact"/>
              <w:jc w:val="center"/>
              <w:rPr>
                <w:color w:val="000000"/>
                <w:sz w:val="15"/>
                <w:szCs w:val="15"/>
              </w:rPr>
            </w:pPr>
            <w:r>
              <w:rPr>
                <w:rFonts w:hint="eastAsia"/>
                <w:color w:val="000000"/>
                <w:sz w:val="15"/>
                <w:szCs w:val="15"/>
              </w:rPr>
              <w:t>141</w:t>
            </w:r>
          </w:p>
        </w:tc>
        <w:tc>
          <w:tcPr>
            <w:tcW w:w="2551" w:type="dxa"/>
            <w:tcBorders>
              <w:top w:val="nil"/>
              <w:left w:val="nil"/>
              <w:bottom w:val="single" w:color="auto" w:sz="4" w:space="0"/>
              <w:right w:val="single" w:color="auto" w:sz="4" w:space="0"/>
            </w:tcBorders>
            <w:shd w:val="clear" w:color="auto" w:fill="auto"/>
            <w:noWrap/>
            <w:vAlign w:val="center"/>
          </w:tcPr>
          <w:p w14:paraId="7AAB1093">
            <w:pPr>
              <w:widowControl/>
              <w:spacing w:line="240" w:lineRule="exact"/>
              <w:jc w:val="center"/>
              <w:rPr>
                <w:color w:val="000000"/>
                <w:sz w:val="15"/>
                <w:szCs w:val="15"/>
              </w:rPr>
            </w:pPr>
            <w:r>
              <w:rPr>
                <w:rFonts w:hint="eastAsia"/>
                <w:color w:val="000000"/>
                <w:sz w:val="15"/>
                <w:szCs w:val="15"/>
              </w:rPr>
              <w:t>Rutter 儿童行为问卷-教师</w:t>
            </w:r>
          </w:p>
        </w:tc>
      </w:tr>
      <w:tr w14:paraId="549ED65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B28C761">
            <w:pPr>
              <w:widowControl/>
              <w:spacing w:line="240" w:lineRule="exact"/>
              <w:jc w:val="center"/>
              <w:rPr>
                <w:color w:val="000000"/>
                <w:sz w:val="15"/>
                <w:szCs w:val="15"/>
              </w:rPr>
            </w:pPr>
            <w:r>
              <w:rPr>
                <w:rFonts w:hint="eastAsia"/>
                <w:color w:val="000000"/>
                <w:sz w:val="15"/>
                <w:szCs w:val="15"/>
              </w:rPr>
              <w:t>6</w:t>
            </w:r>
          </w:p>
        </w:tc>
        <w:tc>
          <w:tcPr>
            <w:tcW w:w="2409" w:type="dxa"/>
            <w:tcBorders>
              <w:top w:val="nil"/>
              <w:left w:val="nil"/>
              <w:bottom w:val="single" w:color="auto" w:sz="4" w:space="0"/>
              <w:right w:val="single" w:color="auto" w:sz="4" w:space="0"/>
            </w:tcBorders>
            <w:shd w:val="clear" w:color="auto" w:fill="auto"/>
            <w:noWrap/>
            <w:vAlign w:val="center"/>
          </w:tcPr>
          <w:p w14:paraId="0857A8E6">
            <w:pPr>
              <w:widowControl/>
              <w:spacing w:line="240" w:lineRule="exact"/>
              <w:jc w:val="center"/>
              <w:rPr>
                <w:color w:val="000000"/>
                <w:sz w:val="15"/>
                <w:szCs w:val="15"/>
              </w:rPr>
            </w:pPr>
            <w:r>
              <w:rPr>
                <w:rFonts w:hint="eastAsia"/>
                <w:color w:val="000000"/>
                <w:sz w:val="15"/>
                <w:szCs w:val="15"/>
              </w:rPr>
              <w:t>饮酒问卷</w:t>
            </w:r>
          </w:p>
        </w:tc>
        <w:tc>
          <w:tcPr>
            <w:tcW w:w="441" w:type="dxa"/>
            <w:tcBorders>
              <w:top w:val="nil"/>
              <w:left w:val="nil"/>
              <w:bottom w:val="single" w:color="auto" w:sz="4" w:space="0"/>
              <w:right w:val="single" w:color="auto" w:sz="4" w:space="0"/>
            </w:tcBorders>
            <w:shd w:val="clear" w:color="auto" w:fill="auto"/>
            <w:noWrap/>
            <w:vAlign w:val="center"/>
          </w:tcPr>
          <w:p w14:paraId="4B68D930">
            <w:pPr>
              <w:widowControl/>
              <w:spacing w:line="240" w:lineRule="exact"/>
              <w:jc w:val="center"/>
              <w:rPr>
                <w:color w:val="000000"/>
                <w:sz w:val="15"/>
                <w:szCs w:val="15"/>
              </w:rPr>
            </w:pPr>
            <w:r>
              <w:rPr>
                <w:rFonts w:hint="eastAsia"/>
                <w:color w:val="000000"/>
                <w:sz w:val="15"/>
                <w:szCs w:val="15"/>
              </w:rPr>
              <w:t>74</w:t>
            </w:r>
          </w:p>
        </w:tc>
        <w:tc>
          <w:tcPr>
            <w:tcW w:w="2678" w:type="dxa"/>
            <w:tcBorders>
              <w:top w:val="nil"/>
              <w:left w:val="nil"/>
              <w:bottom w:val="single" w:color="auto" w:sz="4" w:space="0"/>
              <w:right w:val="single" w:color="auto" w:sz="4" w:space="0"/>
            </w:tcBorders>
            <w:shd w:val="clear" w:color="auto" w:fill="auto"/>
            <w:noWrap/>
            <w:vAlign w:val="center"/>
          </w:tcPr>
          <w:p w14:paraId="7DD0D848">
            <w:pPr>
              <w:widowControl/>
              <w:spacing w:line="240" w:lineRule="exact"/>
              <w:jc w:val="center"/>
              <w:rPr>
                <w:color w:val="000000"/>
                <w:sz w:val="15"/>
                <w:szCs w:val="15"/>
              </w:rPr>
            </w:pPr>
            <w:r>
              <w:rPr>
                <w:rFonts w:hint="eastAsia"/>
                <w:color w:val="000000"/>
                <w:sz w:val="15"/>
                <w:szCs w:val="15"/>
              </w:rPr>
              <w:t>汉密顿焦虑量表</w:t>
            </w:r>
          </w:p>
        </w:tc>
        <w:tc>
          <w:tcPr>
            <w:tcW w:w="567" w:type="dxa"/>
            <w:tcBorders>
              <w:top w:val="nil"/>
              <w:left w:val="nil"/>
              <w:bottom w:val="single" w:color="auto" w:sz="4" w:space="0"/>
              <w:right w:val="single" w:color="auto" w:sz="4" w:space="0"/>
            </w:tcBorders>
            <w:shd w:val="clear" w:color="auto" w:fill="auto"/>
            <w:noWrap/>
            <w:vAlign w:val="center"/>
          </w:tcPr>
          <w:p w14:paraId="07DE0113">
            <w:pPr>
              <w:widowControl/>
              <w:spacing w:line="240" w:lineRule="exact"/>
              <w:jc w:val="center"/>
              <w:rPr>
                <w:color w:val="000000"/>
                <w:sz w:val="15"/>
                <w:szCs w:val="15"/>
              </w:rPr>
            </w:pPr>
            <w:r>
              <w:rPr>
                <w:rFonts w:hint="eastAsia"/>
                <w:color w:val="000000"/>
                <w:sz w:val="15"/>
                <w:szCs w:val="15"/>
              </w:rPr>
              <w:t>142</w:t>
            </w:r>
          </w:p>
        </w:tc>
        <w:tc>
          <w:tcPr>
            <w:tcW w:w="2551" w:type="dxa"/>
            <w:tcBorders>
              <w:top w:val="nil"/>
              <w:left w:val="nil"/>
              <w:bottom w:val="single" w:color="auto" w:sz="4" w:space="0"/>
              <w:right w:val="single" w:color="auto" w:sz="4" w:space="0"/>
            </w:tcBorders>
            <w:shd w:val="clear" w:color="auto" w:fill="auto"/>
            <w:noWrap/>
            <w:vAlign w:val="center"/>
          </w:tcPr>
          <w:p w14:paraId="57A5E266">
            <w:pPr>
              <w:widowControl/>
              <w:spacing w:line="240" w:lineRule="exact"/>
              <w:jc w:val="center"/>
              <w:rPr>
                <w:color w:val="000000"/>
                <w:sz w:val="15"/>
                <w:szCs w:val="15"/>
              </w:rPr>
            </w:pPr>
            <w:r>
              <w:rPr>
                <w:rFonts w:hint="eastAsia"/>
                <w:color w:val="000000"/>
                <w:sz w:val="15"/>
                <w:szCs w:val="15"/>
              </w:rPr>
              <w:t>锥体外系副反应量表</w:t>
            </w:r>
          </w:p>
        </w:tc>
      </w:tr>
      <w:tr w14:paraId="296C2BA4">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A0EC871">
            <w:pPr>
              <w:widowControl/>
              <w:spacing w:line="240" w:lineRule="exact"/>
              <w:jc w:val="center"/>
              <w:rPr>
                <w:color w:val="000000"/>
                <w:sz w:val="15"/>
                <w:szCs w:val="15"/>
              </w:rPr>
            </w:pPr>
            <w:r>
              <w:rPr>
                <w:rFonts w:hint="eastAsia"/>
                <w:color w:val="000000"/>
                <w:sz w:val="15"/>
                <w:szCs w:val="15"/>
              </w:rPr>
              <w:t>7</w:t>
            </w:r>
          </w:p>
        </w:tc>
        <w:tc>
          <w:tcPr>
            <w:tcW w:w="2409" w:type="dxa"/>
            <w:tcBorders>
              <w:top w:val="nil"/>
              <w:left w:val="nil"/>
              <w:bottom w:val="single" w:color="auto" w:sz="4" w:space="0"/>
              <w:right w:val="single" w:color="auto" w:sz="4" w:space="0"/>
            </w:tcBorders>
            <w:shd w:val="clear" w:color="auto" w:fill="auto"/>
            <w:noWrap/>
            <w:vAlign w:val="center"/>
          </w:tcPr>
          <w:p w14:paraId="38729A80">
            <w:pPr>
              <w:widowControl/>
              <w:spacing w:line="240" w:lineRule="exact"/>
              <w:jc w:val="center"/>
              <w:rPr>
                <w:color w:val="000000"/>
                <w:sz w:val="15"/>
                <w:szCs w:val="15"/>
              </w:rPr>
            </w:pPr>
            <w:r>
              <w:rPr>
                <w:rFonts w:hint="eastAsia"/>
                <w:color w:val="000000"/>
                <w:sz w:val="15"/>
                <w:szCs w:val="15"/>
              </w:rPr>
              <w:t>不自主运动评定量表</w:t>
            </w:r>
          </w:p>
        </w:tc>
        <w:tc>
          <w:tcPr>
            <w:tcW w:w="441" w:type="dxa"/>
            <w:tcBorders>
              <w:top w:val="nil"/>
              <w:left w:val="nil"/>
              <w:bottom w:val="single" w:color="auto" w:sz="4" w:space="0"/>
              <w:right w:val="single" w:color="auto" w:sz="4" w:space="0"/>
            </w:tcBorders>
            <w:shd w:val="clear" w:color="auto" w:fill="auto"/>
            <w:noWrap/>
            <w:vAlign w:val="center"/>
          </w:tcPr>
          <w:p w14:paraId="74AADE50">
            <w:pPr>
              <w:widowControl/>
              <w:spacing w:line="240" w:lineRule="exact"/>
              <w:jc w:val="center"/>
              <w:rPr>
                <w:color w:val="000000"/>
                <w:sz w:val="15"/>
                <w:szCs w:val="15"/>
              </w:rPr>
            </w:pPr>
            <w:r>
              <w:rPr>
                <w:rFonts w:hint="eastAsia"/>
                <w:color w:val="000000"/>
                <w:sz w:val="15"/>
                <w:szCs w:val="15"/>
              </w:rPr>
              <w:t>75</w:t>
            </w:r>
          </w:p>
        </w:tc>
        <w:tc>
          <w:tcPr>
            <w:tcW w:w="2678" w:type="dxa"/>
            <w:tcBorders>
              <w:top w:val="nil"/>
              <w:left w:val="nil"/>
              <w:bottom w:val="single" w:color="auto" w:sz="4" w:space="0"/>
              <w:right w:val="single" w:color="auto" w:sz="4" w:space="0"/>
            </w:tcBorders>
            <w:shd w:val="clear" w:color="auto" w:fill="auto"/>
            <w:noWrap/>
            <w:vAlign w:val="center"/>
          </w:tcPr>
          <w:p w14:paraId="4F6A17E8">
            <w:pPr>
              <w:widowControl/>
              <w:spacing w:line="240" w:lineRule="exact"/>
              <w:jc w:val="center"/>
              <w:rPr>
                <w:color w:val="000000"/>
                <w:sz w:val="15"/>
                <w:szCs w:val="15"/>
              </w:rPr>
            </w:pPr>
            <w:r>
              <w:rPr>
                <w:rFonts w:hint="eastAsia"/>
                <w:color w:val="000000"/>
                <w:sz w:val="15"/>
                <w:szCs w:val="15"/>
              </w:rPr>
              <w:t>汉密顿抑郁量表</w:t>
            </w:r>
          </w:p>
        </w:tc>
        <w:tc>
          <w:tcPr>
            <w:tcW w:w="567" w:type="dxa"/>
            <w:tcBorders>
              <w:top w:val="nil"/>
              <w:left w:val="nil"/>
              <w:bottom w:val="single" w:color="auto" w:sz="4" w:space="0"/>
              <w:right w:val="single" w:color="auto" w:sz="4" w:space="0"/>
            </w:tcBorders>
            <w:shd w:val="clear" w:color="auto" w:fill="auto"/>
            <w:noWrap/>
            <w:vAlign w:val="center"/>
          </w:tcPr>
          <w:p w14:paraId="7FF044EF">
            <w:pPr>
              <w:widowControl/>
              <w:spacing w:line="240" w:lineRule="exact"/>
              <w:jc w:val="center"/>
              <w:rPr>
                <w:color w:val="000000"/>
                <w:sz w:val="15"/>
                <w:szCs w:val="15"/>
              </w:rPr>
            </w:pPr>
            <w:r>
              <w:rPr>
                <w:rFonts w:hint="eastAsia"/>
                <w:color w:val="000000"/>
                <w:sz w:val="15"/>
                <w:szCs w:val="15"/>
              </w:rPr>
              <w:t>143</w:t>
            </w:r>
          </w:p>
        </w:tc>
        <w:tc>
          <w:tcPr>
            <w:tcW w:w="2551" w:type="dxa"/>
            <w:tcBorders>
              <w:top w:val="nil"/>
              <w:left w:val="nil"/>
              <w:bottom w:val="single" w:color="auto" w:sz="4" w:space="0"/>
              <w:right w:val="single" w:color="auto" w:sz="4" w:space="0"/>
            </w:tcBorders>
            <w:shd w:val="clear" w:color="auto" w:fill="auto"/>
            <w:noWrap/>
            <w:vAlign w:val="center"/>
          </w:tcPr>
          <w:p w14:paraId="70A72F72">
            <w:pPr>
              <w:widowControl/>
              <w:spacing w:line="240" w:lineRule="exact"/>
              <w:jc w:val="center"/>
              <w:rPr>
                <w:color w:val="000000"/>
                <w:sz w:val="15"/>
                <w:szCs w:val="15"/>
              </w:rPr>
            </w:pPr>
            <w:r>
              <w:rPr>
                <w:rFonts w:hint="eastAsia"/>
                <w:color w:val="000000"/>
                <w:sz w:val="15"/>
                <w:szCs w:val="15"/>
              </w:rPr>
              <w:t>社交回避及苦恼量表</w:t>
            </w:r>
          </w:p>
        </w:tc>
      </w:tr>
      <w:tr w14:paraId="38C65EC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9081C1C">
            <w:pPr>
              <w:widowControl/>
              <w:spacing w:line="240" w:lineRule="exact"/>
              <w:jc w:val="center"/>
              <w:rPr>
                <w:color w:val="000000"/>
                <w:sz w:val="15"/>
                <w:szCs w:val="15"/>
              </w:rPr>
            </w:pPr>
            <w:r>
              <w:rPr>
                <w:rFonts w:hint="eastAsia"/>
                <w:color w:val="000000"/>
                <w:sz w:val="15"/>
                <w:szCs w:val="15"/>
              </w:rPr>
              <w:t>8</w:t>
            </w:r>
          </w:p>
        </w:tc>
        <w:tc>
          <w:tcPr>
            <w:tcW w:w="2409" w:type="dxa"/>
            <w:tcBorders>
              <w:top w:val="nil"/>
              <w:left w:val="nil"/>
              <w:bottom w:val="single" w:color="auto" w:sz="4" w:space="0"/>
              <w:right w:val="single" w:color="auto" w:sz="4" w:space="0"/>
            </w:tcBorders>
            <w:shd w:val="clear" w:color="auto" w:fill="auto"/>
            <w:noWrap/>
            <w:vAlign w:val="center"/>
          </w:tcPr>
          <w:p w14:paraId="4E26560B">
            <w:pPr>
              <w:widowControl/>
              <w:spacing w:line="240" w:lineRule="exact"/>
              <w:jc w:val="center"/>
              <w:rPr>
                <w:color w:val="000000"/>
                <w:sz w:val="15"/>
                <w:szCs w:val="15"/>
              </w:rPr>
            </w:pPr>
            <w:r>
              <w:rPr>
                <w:rFonts w:hint="eastAsia"/>
                <w:color w:val="000000"/>
                <w:sz w:val="15"/>
                <w:szCs w:val="15"/>
              </w:rPr>
              <w:t>阿森斯失眠量表</w:t>
            </w:r>
          </w:p>
        </w:tc>
        <w:tc>
          <w:tcPr>
            <w:tcW w:w="441" w:type="dxa"/>
            <w:tcBorders>
              <w:top w:val="nil"/>
              <w:left w:val="nil"/>
              <w:bottom w:val="single" w:color="auto" w:sz="4" w:space="0"/>
              <w:right w:val="single" w:color="auto" w:sz="4" w:space="0"/>
            </w:tcBorders>
            <w:shd w:val="clear" w:color="auto" w:fill="auto"/>
            <w:noWrap/>
            <w:vAlign w:val="center"/>
          </w:tcPr>
          <w:p w14:paraId="0B11E789">
            <w:pPr>
              <w:widowControl/>
              <w:spacing w:line="240" w:lineRule="exact"/>
              <w:jc w:val="center"/>
              <w:rPr>
                <w:color w:val="000000"/>
                <w:sz w:val="15"/>
                <w:szCs w:val="15"/>
              </w:rPr>
            </w:pPr>
            <w:r>
              <w:rPr>
                <w:rFonts w:hint="eastAsia"/>
                <w:color w:val="000000"/>
                <w:sz w:val="15"/>
                <w:szCs w:val="15"/>
              </w:rPr>
              <w:t>76</w:t>
            </w:r>
          </w:p>
        </w:tc>
        <w:tc>
          <w:tcPr>
            <w:tcW w:w="2678" w:type="dxa"/>
            <w:tcBorders>
              <w:top w:val="nil"/>
              <w:left w:val="nil"/>
              <w:bottom w:val="single" w:color="auto" w:sz="4" w:space="0"/>
              <w:right w:val="single" w:color="auto" w:sz="4" w:space="0"/>
            </w:tcBorders>
            <w:shd w:val="clear" w:color="auto" w:fill="auto"/>
            <w:noWrap/>
            <w:vAlign w:val="center"/>
          </w:tcPr>
          <w:p w14:paraId="3F6BC806">
            <w:pPr>
              <w:widowControl/>
              <w:spacing w:line="240" w:lineRule="exact"/>
              <w:jc w:val="center"/>
              <w:rPr>
                <w:color w:val="000000"/>
                <w:sz w:val="15"/>
                <w:szCs w:val="15"/>
              </w:rPr>
            </w:pPr>
            <w:r>
              <w:rPr>
                <w:rFonts w:hint="eastAsia"/>
                <w:color w:val="000000"/>
                <w:sz w:val="15"/>
                <w:szCs w:val="15"/>
              </w:rPr>
              <w:t>32 项轻躁狂症状清单</w:t>
            </w:r>
          </w:p>
        </w:tc>
        <w:tc>
          <w:tcPr>
            <w:tcW w:w="567" w:type="dxa"/>
            <w:tcBorders>
              <w:top w:val="nil"/>
              <w:left w:val="nil"/>
              <w:bottom w:val="single" w:color="auto" w:sz="4" w:space="0"/>
              <w:right w:val="single" w:color="auto" w:sz="4" w:space="0"/>
            </w:tcBorders>
            <w:shd w:val="clear" w:color="auto" w:fill="auto"/>
            <w:noWrap/>
            <w:vAlign w:val="center"/>
          </w:tcPr>
          <w:p w14:paraId="6AE2243D">
            <w:pPr>
              <w:widowControl/>
              <w:spacing w:line="240" w:lineRule="exact"/>
              <w:jc w:val="center"/>
              <w:rPr>
                <w:color w:val="000000"/>
                <w:sz w:val="15"/>
                <w:szCs w:val="15"/>
              </w:rPr>
            </w:pPr>
            <w:r>
              <w:rPr>
                <w:rFonts w:hint="eastAsia"/>
                <w:color w:val="000000"/>
                <w:sz w:val="15"/>
                <w:szCs w:val="15"/>
              </w:rPr>
              <w:t>144</w:t>
            </w:r>
          </w:p>
        </w:tc>
        <w:tc>
          <w:tcPr>
            <w:tcW w:w="2551" w:type="dxa"/>
            <w:tcBorders>
              <w:top w:val="nil"/>
              <w:left w:val="nil"/>
              <w:bottom w:val="single" w:color="auto" w:sz="4" w:space="0"/>
              <w:right w:val="single" w:color="auto" w:sz="4" w:space="0"/>
            </w:tcBorders>
            <w:shd w:val="clear" w:color="auto" w:fill="auto"/>
            <w:noWrap/>
            <w:vAlign w:val="center"/>
          </w:tcPr>
          <w:p w14:paraId="274A6248">
            <w:pPr>
              <w:widowControl/>
              <w:spacing w:line="240" w:lineRule="exact"/>
              <w:jc w:val="center"/>
              <w:rPr>
                <w:color w:val="000000"/>
                <w:sz w:val="15"/>
                <w:szCs w:val="15"/>
              </w:rPr>
            </w:pPr>
            <w:r>
              <w:rPr>
                <w:rFonts w:hint="eastAsia"/>
                <w:color w:val="000000"/>
                <w:sz w:val="15"/>
                <w:szCs w:val="15"/>
              </w:rPr>
              <w:t>阴性症状量表</w:t>
            </w:r>
          </w:p>
        </w:tc>
      </w:tr>
      <w:tr w14:paraId="100FECD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769B1E6">
            <w:pPr>
              <w:widowControl/>
              <w:spacing w:line="240" w:lineRule="exact"/>
              <w:jc w:val="center"/>
              <w:rPr>
                <w:color w:val="000000"/>
                <w:sz w:val="15"/>
                <w:szCs w:val="15"/>
              </w:rPr>
            </w:pPr>
            <w:r>
              <w:rPr>
                <w:rFonts w:hint="eastAsia"/>
                <w:color w:val="000000"/>
                <w:sz w:val="15"/>
                <w:szCs w:val="15"/>
              </w:rPr>
              <w:t>9</w:t>
            </w:r>
          </w:p>
        </w:tc>
        <w:tc>
          <w:tcPr>
            <w:tcW w:w="2409" w:type="dxa"/>
            <w:tcBorders>
              <w:top w:val="nil"/>
              <w:left w:val="nil"/>
              <w:bottom w:val="single" w:color="auto" w:sz="4" w:space="0"/>
              <w:right w:val="single" w:color="auto" w:sz="4" w:space="0"/>
            </w:tcBorders>
            <w:shd w:val="clear" w:color="auto" w:fill="auto"/>
            <w:noWrap/>
            <w:vAlign w:val="center"/>
          </w:tcPr>
          <w:p w14:paraId="60BB38EA">
            <w:pPr>
              <w:widowControl/>
              <w:spacing w:line="240" w:lineRule="exact"/>
              <w:jc w:val="center"/>
              <w:rPr>
                <w:color w:val="000000"/>
                <w:sz w:val="15"/>
                <w:szCs w:val="15"/>
                <w:lang w:eastAsia="zh-CN"/>
              </w:rPr>
            </w:pPr>
            <w:r>
              <w:rPr>
                <w:rFonts w:hint="eastAsia"/>
                <w:color w:val="000000"/>
                <w:sz w:val="15"/>
                <w:szCs w:val="15"/>
                <w:lang w:eastAsia="zh-CN"/>
              </w:rPr>
              <w:t>青少年病理性互联网使用量表</w:t>
            </w:r>
          </w:p>
        </w:tc>
        <w:tc>
          <w:tcPr>
            <w:tcW w:w="441" w:type="dxa"/>
            <w:tcBorders>
              <w:top w:val="nil"/>
              <w:left w:val="nil"/>
              <w:bottom w:val="single" w:color="auto" w:sz="4" w:space="0"/>
              <w:right w:val="single" w:color="auto" w:sz="4" w:space="0"/>
            </w:tcBorders>
            <w:shd w:val="clear" w:color="auto" w:fill="auto"/>
            <w:noWrap/>
            <w:vAlign w:val="center"/>
          </w:tcPr>
          <w:p w14:paraId="216B6488">
            <w:pPr>
              <w:widowControl/>
              <w:spacing w:line="240" w:lineRule="exact"/>
              <w:jc w:val="center"/>
              <w:rPr>
                <w:color w:val="000000"/>
                <w:sz w:val="15"/>
                <w:szCs w:val="15"/>
              </w:rPr>
            </w:pPr>
            <w:r>
              <w:rPr>
                <w:rFonts w:hint="eastAsia"/>
                <w:color w:val="000000"/>
                <w:sz w:val="15"/>
                <w:szCs w:val="15"/>
              </w:rPr>
              <w:t>77</w:t>
            </w:r>
          </w:p>
        </w:tc>
        <w:tc>
          <w:tcPr>
            <w:tcW w:w="2678" w:type="dxa"/>
            <w:tcBorders>
              <w:top w:val="nil"/>
              <w:left w:val="nil"/>
              <w:bottom w:val="single" w:color="auto" w:sz="4" w:space="0"/>
              <w:right w:val="single" w:color="auto" w:sz="4" w:space="0"/>
            </w:tcBorders>
            <w:shd w:val="clear" w:color="auto" w:fill="auto"/>
            <w:noWrap/>
            <w:vAlign w:val="center"/>
          </w:tcPr>
          <w:p w14:paraId="30882570">
            <w:pPr>
              <w:widowControl/>
              <w:spacing w:line="240" w:lineRule="exact"/>
              <w:jc w:val="center"/>
              <w:rPr>
                <w:color w:val="000000"/>
                <w:sz w:val="15"/>
                <w:szCs w:val="15"/>
              </w:rPr>
            </w:pPr>
            <w:r>
              <w:rPr>
                <w:rFonts w:hint="eastAsia"/>
                <w:color w:val="000000"/>
                <w:sz w:val="15"/>
                <w:szCs w:val="15"/>
              </w:rPr>
              <w:t>改良长谷川痴呆量表</w:t>
            </w:r>
          </w:p>
        </w:tc>
        <w:tc>
          <w:tcPr>
            <w:tcW w:w="567" w:type="dxa"/>
            <w:tcBorders>
              <w:top w:val="nil"/>
              <w:left w:val="nil"/>
              <w:bottom w:val="single" w:color="auto" w:sz="4" w:space="0"/>
              <w:right w:val="single" w:color="auto" w:sz="4" w:space="0"/>
            </w:tcBorders>
            <w:shd w:val="clear" w:color="auto" w:fill="auto"/>
            <w:noWrap/>
            <w:vAlign w:val="center"/>
          </w:tcPr>
          <w:p w14:paraId="1099C461">
            <w:pPr>
              <w:widowControl/>
              <w:spacing w:line="240" w:lineRule="exact"/>
              <w:jc w:val="center"/>
              <w:rPr>
                <w:color w:val="000000"/>
                <w:sz w:val="15"/>
                <w:szCs w:val="15"/>
              </w:rPr>
            </w:pPr>
            <w:r>
              <w:rPr>
                <w:rFonts w:hint="eastAsia"/>
                <w:color w:val="000000"/>
                <w:sz w:val="15"/>
                <w:szCs w:val="15"/>
              </w:rPr>
              <w:t>145</w:t>
            </w:r>
          </w:p>
        </w:tc>
        <w:tc>
          <w:tcPr>
            <w:tcW w:w="2551" w:type="dxa"/>
            <w:tcBorders>
              <w:top w:val="nil"/>
              <w:left w:val="nil"/>
              <w:bottom w:val="single" w:color="auto" w:sz="4" w:space="0"/>
              <w:right w:val="single" w:color="auto" w:sz="4" w:space="0"/>
            </w:tcBorders>
            <w:shd w:val="clear" w:color="auto" w:fill="auto"/>
            <w:noWrap/>
            <w:vAlign w:val="center"/>
          </w:tcPr>
          <w:p w14:paraId="1D0466C9">
            <w:pPr>
              <w:widowControl/>
              <w:spacing w:line="240" w:lineRule="exact"/>
              <w:jc w:val="center"/>
              <w:rPr>
                <w:color w:val="000000"/>
                <w:sz w:val="15"/>
                <w:szCs w:val="15"/>
              </w:rPr>
            </w:pPr>
            <w:r>
              <w:rPr>
                <w:rFonts w:hint="eastAsia"/>
                <w:color w:val="000000"/>
                <w:sz w:val="15"/>
                <w:szCs w:val="15"/>
              </w:rPr>
              <w:t>阳性症状量表</w:t>
            </w:r>
          </w:p>
        </w:tc>
      </w:tr>
      <w:tr w14:paraId="5AA6BCEB">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E6875DF">
            <w:pPr>
              <w:widowControl/>
              <w:spacing w:line="240" w:lineRule="exact"/>
              <w:jc w:val="center"/>
              <w:rPr>
                <w:color w:val="000000"/>
                <w:sz w:val="15"/>
                <w:szCs w:val="15"/>
              </w:rPr>
            </w:pPr>
            <w:r>
              <w:rPr>
                <w:rFonts w:hint="eastAsia"/>
                <w:color w:val="000000"/>
                <w:sz w:val="15"/>
                <w:szCs w:val="15"/>
              </w:rPr>
              <w:t>10</w:t>
            </w:r>
          </w:p>
        </w:tc>
        <w:tc>
          <w:tcPr>
            <w:tcW w:w="2409" w:type="dxa"/>
            <w:tcBorders>
              <w:top w:val="nil"/>
              <w:left w:val="nil"/>
              <w:bottom w:val="single" w:color="auto" w:sz="4" w:space="0"/>
              <w:right w:val="single" w:color="auto" w:sz="4" w:space="0"/>
            </w:tcBorders>
            <w:shd w:val="clear" w:color="auto" w:fill="auto"/>
            <w:noWrap/>
            <w:vAlign w:val="center"/>
          </w:tcPr>
          <w:p w14:paraId="1F2F810B">
            <w:pPr>
              <w:widowControl/>
              <w:spacing w:line="240" w:lineRule="exact"/>
              <w:jc w:val="center"/>
              <w:rPr>
                <w:color w:val="000000"/>
                <w:sz w:val="15"/>
                <w:szCs w:val="15"/>
                <w:lang w:eastAsia="zh-CN"/>
              </w:rPr>
            </w:pPr>
            <w:r>
              <w:rPr>
                <w:rFonts w:hint="eastAsia"/>
                <w:color w:val="000000"/>
                <w:sz w:val="15"/>
                <w:szCs w:val="15"/>
                <w:lang w:eastAsia="zh-CN"/>
              </w:rPr>
              <w:t>爱情关系合适度评定量表</w:t>
            </w:r>
          </w:p>
        </w:tc>
        <w:tc>
          <w:tcPr>
            <w:tcW w:w="441" w:type="dxa"/>
            <w:tcBorders>
              <w:top w:val="nil"/>
              <w:left w:val="nil"/>
              <w:bottom w:val="single" w:color="auto" w:sz="4" w:space="0"/>
              <w:right w:val="single" w:color="auto" w:sz="4" w:space="0"/>
            </w:tcBorders>
            <w:shd w:val="clear" w:color="auto" w:fill="auto"/>
            <w:noWrap/>
            <w:vAlign w:val="center"/>
          </w:tcPr>
          <w:p w14:paraId="30E72240">
            <w:pPr>
              <w:widowControl/>
              <w:spacing w:line="240" w:lineRule="exact"/>
              <w:jc w:val="center"/>
              <w:rPr>
                <w:color w:val="000000"/>
                <w:sz w:val="15"/>
                <w:szCs w:val="15"/>
              </w:rPr>
            </w:pPr>
            <w:r>
              <w:rPr>
                <w:rFonts w:hint="eastAsia"/>
                <w:color w:val="000000"/>
                <w:sz w:val="15"/>
                <w:szCs w:val="15"/>
              </w:rPr>
              <w:t>78</w:t>
            </w:r>
          </w:p>
        </w:tc>
        <w:tc>
          <w:tcPr>
            <w:tcW w:w="2678" w:type="dxa"/>
            <w:tcBorders>
              <w:top w:val="nil"/>
              <w:left w:val="nil"/>
              <w:bottom w:val="single" w:color="auto" w:sz="4" w:space="0"/>
              <w:right w:val="single" w:color="auto" w:sz="4" w:space="0"/>
            </w:tcBorders>
            <w:shd w:val="clear" w:color="auto" w:fill="auto"/>
            <w:noWrap/>
            <w:vAlign w:val="center"/>
          </w:tcPr>
          <w:p w14:paraId="17CD8980">
            <w:pPr>
              <w:widowControl/>
              <w:spacing w:line="240" w:lineRule="exact"/>
              <w:jc w:val="center"/>
              <w:rPr>
                <w:color w:val="000000"/>
                <w:sz w:val="15"/>
                <w:szCs w:val="15"/>
              </w:rPr>
            </w:pPr>
            <w:r>
              <w:rPr>
                <w:rFonts w:hint="eastAsia"/>
                <w:color w:val="000000"/>
                <w:sz w:val="15"/>
                <w:szCs w:val="15"/>
              </w:rPr>
              <w:t>缺血指数</w:t>
            </w:r>
          </w:p>
        </w:tc>
        <w:tc>
          <w:tcPr>
            <w:tcW w:w="567" w:type="dxa"/>
            <w:tcBorders>
              <w:top w:val="nil"/>
              <w:left w:val="nil"/>
              <w:bottom w:val="single" w:color="auto" w:sz="4" w:space="0"/>
              <w:right w:val="single" w:color="auto" w:sz="4" w:space="0"/>
            </w:tcBorders>
            <w:shd w:val="clear" w:color="auto" w:fill="auto"/>
            <w:noWrap/>
            <w:vAlign w:val="center"/>
          </w:tcPr>
          <w:p w14:paraId="7F64248B">
            <w:pPr>
              <w:widowControl/>
              <w:spacing w:line="240" w:lineRule="exact"/>
              <w:jc w:val="center"/>
              <w:rPr>
                <w:color w:val="000000"/>
                <w:sz w:val="15"/>
                <w:szCs w:val="15"/>
              </w:rPr>
            </w:pPr>
            <w:r>
              <w:rPr>
                <w:rFonts w:hint="eastAsia"/>
                <w:color w:val="000000"/>
                <w:sz w:val="15"/>
                <w:szCs w:val="15"/>
              </w:rPr>
              <w:t>146</w:t>
            </w:r>
          </w:p>
        </w:tc>
        <w:tc>
          <w:tcPr>
            <w:tcW w:w="2551" w:type="dxa"/>
            <w:tcBorders>
              <w:top w:val="nil"/>
              <w:left w:val="nil"/>
              <w:bottom w:val="single" w:color="auto" w:sz="4" w:space="0"/>
              <w:right w:val="single" w:color="auto" w:sz="4" w:space="0"/>
            </w:tcBorders>
            <w:shd w:val="clear" w:color="auto" w:fill="auto"/>
            <w:noWrap/>
            <w:vAlign w:val="center"/>
          </w:tcPr>
          <w:p w14:paraId="78324872">
            <w:pPr>
              <w:widowControl/>
              <w:spacing w:line="240" w:lineRule="exact"/>
              <w:jc w:val="center"/>
              <w:rPr>
                <w:color w:val="000000"/>
                <w:sz w:val="15"/>
                <w:szCs w:val="15"/>
              </w:rPr>
            </w:pPr>
            <w:r>
              <w:rPr>
                <w:rFonts w:hint="eastAsia"/>
                <w:color w:val="000000"/>
                <w:sz w:val="15"/>
                <w:szCs w:val="15"/>
              </w:rPr>
              <w:t>焦虑自评量表</w:t>
            </w:r>
          </w:p>
        </w:tc>
      </w:tr>
      <w:tr w14:paraId="486BB50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32C721D">
            <w:pPr>
              <w:widowControl/>
              <w:spacing w:line="240" w:lineRule="exact"/>
              <w:jc w:val="center"/>
              <w:rPr>
                <w:color w:val="000000"/>
                <w:sz w:val="15"/>
                <w:szCs w:val="15"/>
              </w:rPr>
            </w:pPr>
            <w:r>
              <w:rPr>
                <w:rFonts w:hint="eastAsia"/>
                <w:color w:val="000000"/>
                <w:sz w:val="15"/>
                <w:szCs w:val="15"/>
              </w:rPr>
              <w:t>11</w:t>
            </w:r>
          </w:p>
        </w:tc>
        <w:tc>
          <w:tcPr>
            <w:tcW w:w="2409" w:type="dxa"/>
            <w:tcBorders>
              <w:top w:val="nil"/>
              <w:left w:val="nil"/>
              <w:bottom w:val="single" w:color="auto" w:sz="4" w:space="0"/>
              <w:right w:val="single" w:color="auto" w:sz="4" w:space="0"/>
            </w:tcBorders>
            <w:shd w:val="clear" w:color="auto" w:fill="auto"/>
            <w:noWrap/>
            <w:vAlign w:val="center"/>
          </w:tcPr>
          <w:p w14:paraId="6119F26E">
            <w:pPr>
              <w:widowControl/>
              <w:spacing w:line="240" w:lineRule="exact"/>
              <w:jc w:val="center"/>
              <w:rPr>
                <w:color w:val="000000"/>
                <w:sz w:val="15"/>
                <w:szCs w:val="15"/>
              </w:rPr>
            </w:pPr>
            <w:r>
              <w:rPr>
                <w:rFonts w:hint="eastAsia"/>
                <w:color w:val="000000"/>
                <w:sz w:val="15"/>
                <w:szCs w:val="15"/>
              </w:rPr>
              <w:t>成人智残评定量表</w:t>
            </w:r>
          </w:p>
        </w:tc>
        <w:tc>
          <w:tcPr>
            <w:tcW w:w="441" w:type="dxa"/>
            <w:tcBorders>
              <w:top w:val="nil"/>
              <w:left w:val="nil"/>
              <w:bottom w:val="single" w:color="auto" w:sz="4" w:space="0"/>
              <w:right w:val="single" w:color="auto" w:sz="4" w:space="0"/>
            </w:tcBorders>
            <w:shd w:val="clear" w:color="auto" w:fill="auto"/>
            <w:noWrap/>
            <w:vAlign w:val="center"/>
          </w:tcPr>
          <w:p w14:paraId="691A7ED6">
            <w:pPr>
              <w:widowControl/>
              <w:spacing w:line="240" w:lineRule="exact"/>
              <w:jc w:val="center"/>
              <w:rPr>
                <w:color w:val="000000"/>
                <w:sz w:val="15"/>
                <w:szCs w:val="15"/>
              </w:rPr>
            </w:pPr>
            <w:r>
              <w:rPr>
                <w:rFonts w:hint="eastAsia"/>
                <w:color w:val="000000"/>
                <w:sz w:val="15"/>
                <w:szCs w:val="15"/>
              </w:rPr>
              <w:t>79</w:t>
            </w:r>
          </w:p>
        </w:tc>
        <w:tc>
          <w:tcPr>
            <w:tcW w:w="2678" w:type="dxa"/>
            <w:tcBorders>
              <w:top w:val="nil"/>
              <w:left w:val="nil"/>
              <w:bottom w:val="single" w:color="auto" w:sz="4" w:space="0"/>
              <w:right w:val="single" w:color="auto" w:sz="4" w:space="0"/>
            </w:tcBorders>
            <w:shd w:val="clear" w:color="auto" w:fill="auto"/>
            <w:noWrap/>
            <w:vAlign w:val="center"/>
          </w:tcPr>
          <w:p w14:paraId="100C120D">
            <w:pPr>
              <w:widowControl/>
              <w:spacing w:line="240" w:lineRule="exact"/>
              <w:jc w:val="center"/>
              <w:rPr>
                <w:color w:val="000000"/>
                <w:sz w:val="15"/>
                <w:szCs w:val="15"/>
                <w:lang w:eastAsia="zh-CN"/>
              </w:rPr>
            </w:pPr>
            <w:r>
              <w:rPr>
                <w:rFonts w:hint="eastAsia"/>
                <w:color w:val="000000"/>
                <w:sz w:val="15"/>
                <w:szCs w:val="15"/>
                <w:lang w:eastAsia="zh-CN"/>
              </w:rPr>
              <w:t>霍兰德职业人格能力测验问卷</w:t>
            </w:r>
          </w:p>
        </w:tc>
        <w:tc>
          <w:tcPr>
            <w:tcW w:w="567" w:type="dxa"/>
            <w:tcBorders>
              <w:top w:val="nil"/>
              <w:left w:val="nil"/>
              <w:bottom w:val="single" w:color="auto" w:sz="4" w:space="0"/>
              <w:right w:val="single" w:color="auto" w:sz="4" w:space="0"/>
            </w:tcBorders>
            <w:shd w:val="clear" w:color="auto" w:fill="auto"/>
            <w:noWrap/>
            <w:vAlign w:val="center"/>
          </w:tcPr>
          <w:p w14:paraId="4F339165">
            <w:pPr>
              <w:widowControl/>
              <w:spacing w:line="240" w:lineRule="exact"/>
              <w:jc w:val="center"/>
              <w:rPr>
                <w:color w:val="000000"/>
                <w:sz w:val="15"/>
                <w:szCs w:val="15"/>
              </w:rPr>
            </w:pPr>
            <w:r>
              <w:rPr>
                <w:rFonts w:hint="eastAsia"/>
                <w:color w:val="000000"/>
                <w:sz w:val="15"/>
                <w:szCs w:val="15"/>
              </w:rPr>
              <w:t>147</w:t>
            </w:r>
          </w:p>
        </w:tc>
        <w:tc>
          <w:tcPr>
            <w:tcW w:w="2551" w:type="dxa"/>
            <w:tcBorders>
              <w:top w:val="nil"/>
              <w:left w:val="nil"/>
              <w:bottom w:val="single" w:color="auto" w:sz="4" w:space="0"/>
              <w:right w:val="single" w:color="auto" w:sz="4" w:space="0"/>
            </w:tcBorders>
            <w:shd w:val="clear" w:color="auto" w:fill="auto"/>
            <w:noWrap/>
            <w:vAlign w:val="center"/>
          </w:tcPr>
          <w:p w14:paraId="182FB8DF">
            <w:pPr>
              <w:widowControl/>
              <w:spacing w:line="240" w:lineRule="exact"/>
              <w:jc w:val="center"/>
              <w:rPr>
                <w:color w:val="000000"/>
                <w:sz w:val="15"/>
                <w:szCs w:val="15"/>
              </w:rPr>
            </w:pPr>
            <w:r>
              <w:rPr>
                <w:rFonts w:hint="eastAsia"/>
                <w:color w:val="000000"/>
                <w:sz w:val="15"/>
                <w:szCs w:val="15"/>
              </w:rPr>
              <w:t>儿童社交焦虑量表</w:t>
            </w:r>
          </w:p>
        </w:tc>
      </w:tr>
      <w:tr w14:paraId="08AC223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224B70A">
            <w:pPr>
              <w:widowControl/>
              <w:spacing w:line="240" w:lineRule="exact"/>
              <w:jc w:val="center"/>
              <w:rPr>
                <w:color w:val="000000"/>
                <w:sz w:val="15"/>
                <w:szCs w:val="15"/>
              </w:rPr>
            </w:pPr>
            <w:r>
              <w:rPr>
                <w:rFonts w:hint="eastAsia"/>
                <w:color w:val="000000"/>
                <w:sz w:val="15"/>
                <w:szCs w:val="15"/>
              </w:rPr>
              <w:t>12</w:t>
            </w:r>
          </w:p>
        </w:tc>
        <w:tc>
          <w:tcPr>
            <w:tcW w:w="2409" w:type="dxa"/>
            <w:tcBorders>
              <w:top w:val="nil"/>
              <w:left w:val="nil"/>
              <w:bottom w:val="single" w:color="auto" w:sz="4" w:space="0"/>
              <w:right w:val="single" w:color="auto" w:sz="4" w:space="0"/>
            </w:tcBorders>
            <w:shd w:val="clear" w:color="auto" w:fill="auto"/>
            <w:noWrap/>
            <w:vAlign w:val="center"/>
          </w:tcPr>
          <w:p w14:paraId="2E04CD93">
            <w:pPr>
              <w:widowControl/>
              <w:spacing w:line="240" w:lineRule="exact"/>
              <w:jc w:val="center"/>
              <w:rPr>
                <w:color w:val="000000"/>
                <w:sz w:val="15"/>
                <w:szCs w:val="15"/>
              </w:rPr>
            </w:pPr>
            <w:r>
              <w:rPr>
                <w:rFonts w:hint="eastAsia"/>
                <w:color w:val="000000"/>
                <w:sz w:val="15"/>
                <w:szCs w:val="15"/>
              </w:rPr>
              <w:t>青少年生活事件量表</w:t>
            </w:r>
          </w:p>
        </w:tc>
        <w:tc>
          <w:tcPr>
            <w:tcW w:w="441" w:type="dxa"/>
            <w:tcBorders>
              <w:top w:val="nil"/>
              <w:left w:val="nil"/>
              <w:bottom w:val="single" w:color="auto" w:sz="4" w:space="0"/>
              <w:right w:val="single" w:color="auto" w:sz="4" w:space="0"/>
            </w:tcBorders>
            <w:shd w:val="clear" w:color="auto" w:fill="auto"/>
            <w:noWrap/>
            <w:vAlign w:val="center"/>
          </w:tcPr>
          <w:p w14:paraId="74610DE2">
            <w:pPr>
              <w:widowControl/>
              <w:spacing w:line="240" w:lineRule="exact"/>
              <w:jc w:val="center"/>
              <w:rPr>
                <w:color w:val="000000"/>
                <w:sz w:val="15"/>
                <w:szCs w:val="15"/>
              </w:rPr>
            </w:pPr>
            <w:r>
              <w:rPr>
                <w:rFonts w:hint="eastAsia"/>
                <w:color w:val="000000"/>
                <w:sz w:val="15"/>
                <w:szCs w:val="15"/>
              </w:rPr>
              <w:t>80</w:t>
            </w:r>
          </w:p>
        </w:tc>
        <w:tc>
          <w:tcPr>
            <w:tcW w:w="2678" w:type="dxa"/>
            <w:tcBorders>
              <w:top w:val="nil"/>
              <w:left w:val="nil"/>
              <w:bottom w:val="single" w:color="auto" w:sz="4" w:space="0"/>
              <w:right w:val="single" w:color="auto" w:sz="4" w:space="0"/>
            </w:tcBorders>
            <w:shd w:val="clear" w:color="auto" w:fill="auto"/>
            <w:noWrap/>
            <w:vAlign w:val="center"/>
          </w:tcPr>
          <w:p w14:paraId="45CD439C">
            <w:pPr>
              <w:widowControl/>
              <w:spacing w:line="240" w:lineRule="exact"/>
              <w:jc w:val="center"/>
              <w:rPr>
                <w:color w:val="000000"/>
                <w:sz w:val="15"/>
                <w:szCs w:val="15"/>
              </w:rPr>
            </w:pPr>
            <w:r>
              <w:rPr>
                <w:rFonts w:hint="eastAsia"/>
                <w:color w:val="000000"/>
                <w:sz w:val="15"/>
                <w:szCs w:val="15"/>
              </w:rPr>
              <w:t>交往焦虑量表</w:t>
            </w:r>
          </w:p>
        </w:tc>
        <w:tc>
          <w:tcPr>
            <w:tcW w:w="567" w:type="dxa"/>
            <w:tcBorders>
              <w:top w:val="nil"/>
              <w:left w:val="nil"/>
              <w:bottom w:val="single" w:color="auto" w:sz="4" w:space="0"/>
              <w:right w:val="single" w:color="auto" w:sz="4" w:space="0"/>
            </w:tcBorders>
            <w:shd w:val="clear" w:color="auto" w:fill="auto"/>
            <w:noWrap/>
            <w:vAlign w:val="center"/>
          </w:tcPr>
          <w:p w14:paraId="3BB43CED">
            <w:pPr>
              <w:widowControl/>
              <w:spacing w:line="240" w:lineRule="exact"/>
              <w:jc w:val="center"/>
              <w:rPr>
                <w:color w:val="000000"/>
                <w:sz w:val="15"/>
                <w:szCs w:val="15"/>
              </w:rPr>
            </w:pPr>
            <w:r>
              <w:rPr>
                <w:rFonts w:hint="eastAsia"/>
                <w:color w:val="000000"/>
                <w:sz w:val="15"/>
                <w:szCs w:val="15"/>
              </w:rPr>
              <w:t>148</w:t>
            </w:r>
          </w:p>
        </w:tc>
        <w:tc>
          <w:tcPr>
            <w:tcW w:w="2551" w:type="dxa"/>
            <w:tcBorders>
              <w:top w:val="nil"/>
              <w:left w:val="nil"/>
              <w:bottom w:val="single" w:color="auto" w:sz="4" w:space="0"/>
              <w:right w:val="single" w:color="auto" w:sz="4" w:space="0"/>
            </w:tcBorders>
            <w:shd w:val="clear" w:color="auto" w:fill="auto"/>
            <w:noWrap/>
            <w:vAlign w:val="center"/>
          </w:tcPr>
          <w:p w14:paraId="74A144E3">
            <w:pPr>
              <w:widowControl/>
              <w:spacing w:line="240" w:lineRule="exact"/>
              <w:jc w:val="center"/>
              <w:rPr>
                <w:color w:val="000000"/>
                <w:sz w:val="15"/>
                <w:szCs w:val="15"/>
                <w:lang w:eastAsia="zh-CN"/>
              </w:rPr>
            </w:pPr>
            <w:r>
              <w:rPr>
                <w:rFonts w:hint="eastAsia"/>
                <w:color w:val="000000"/>
                <w:sz w:val="15"/>
                <w:szCs w:val="15"/>
                <w:lang w:eastAsia="zh-CN"/>
              </w:rPr>
              <w:t>自杀自伤危险因素评估表</w:t>
            </w:r>
          </w:p>
        </w:tc>
      </w:tr>
      <w:tr w14:paraId="423D3C2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B54238A">
            <w:pPr>
              <w:widowControl/>
              <w:spacing w:line="240" w:lineRule="exact"/>
              <w:jc w:val="center"/>
              <w:rPr>
                <w:color w:val="000000"/>
                <w:sz w:val="15"/>
                <w:szCs w:val="15"/>
              </w:rPr>
            </w:pPr>
            <w:r>
              <w:rPr>
                <w:rFonts w:hint="eastAsia"/>
                <w:color w:val="000000"/>
                <w:sz w:val="15"/>
                <w:szCs w:val="15"/>
              </w:rPr>
              <w:t>13</w:t>
            </w:r>
          </w:p>
        </w:tc>
        <w:tc>
          <w:tcPr>
            <w:tcW w:w="2409" w:type="dxa"/>
            <w:tcBorders>
              <w:top w:val="nil"/>
              <w:left w:val="nil"/>
              <w:bottom w:val="single" w:color="auto" w:sz="4" w:space="0"/>
              <w:right w:val="single" w:color="auto" w:sz="4" w:space="0"/>
            </w:tcBorders>
            <w:shd w:val="clear" w:color="auto" w:fill="auto"/>
            <w:noWrap/>
            <w:vAlign w:val="center"/>
          </w:tcPr>
          <w:p w14:paraId="70704528">
            <w:pPr>
              <w:widowControl/>
              <w:spacing w:line="240" w:lineRule="exact"/>
              <w:jc w:val="center"/>
              <w:rPr>
                <w:color w:val="000000"/>
                <w:sz w:val="15"/>
                <w:szCs w:val="15"/>
              </w:rPr>
            </w:pPr>
            <w:r>
              <w:rPr>
                <w:rFonts w:hint="eastAsia"/>
                <w:color w:val="000000"/>
                <w:sz w:val="15"/>
                <w:szCs w:val="15"/>
              </w:rPr>
              <w:t>自动思维问卷</w:t>
            </w:r>
          </w:p>
        </w:tc>
        <w:tc>
          <w:tcPr>
            <w:tcW w:w="441" w:type="dxa"/>
            <w:tcBorders>
              <w:top w:val="nil"/>
              <w:left w:val="nil"/>
              <w:bottom w:val="single" w:color="auto" w:sz="4" w:space="0"/>
              <w:right w:val="single" w:color="auto" w:sz="4" w:space="0"/>
            </w:tcBorders>
            <w:shd w:val="clear" w:color="auto" w:fill="auto"/>
            <w:noWrap/>
            <w:vAlign w:val="center"/>
          </w:tcPr>
          <w:p w14:paraId="605AC42E">
            <w:pPr>
              <w:widowControl/>
              <w:spacing w:line="240" w:lineRule="exact"/>
              <w:jc w:val="center"/>
              <w:rPr>
                <w:color w:val="000000"/>
                <w:sz w:val="15"/>
                <w:szCs w:val="15"/>
              </w:rPr>
            </w:pPr>
            <w:r>
              <w:rPr>
                <w:rFonts w:hint="eastAsia"/>
                <w:color w:val="000000"/>
                <w:sz w:val="15"/>
                <w:szCs w:val="15"/>
              </w:rPr>
              <w:t>81</w:t>
            </w:r>
          </w:p>
        </w:tc>
        <w:tc>
          <w:tcPr>
            <w:tcW w:w="2678" w:type="dxa"/>
            <w:tcBorders>
              <w:top w:val="nil"/>
              <w:left w:val="nil"/>
              <w:bottom w:val="single" w:color="auto" w:sz="4" w:space="0"/>
              <w:right w:val="single" w:color="auto" w:sz="4" w:space="0"/>
            </w:tcBorders>
            <w:shd w:val="clear" w:color="auto" w:fill="auto"/>
            <w:noWrap/>
            <w:vAlign w:val="center"/>
          </w:tcPr>
          <w:p w14:paraId="1E10A031">
            <w:pPr>
              <w:widowControl/>
              <w:spacing w:line="240" w:lineRule="exact"/>
              <w:jc w:val="center"/>
              <w:rPr>
                <w:color w:val="000000"/>
                <w:sz w:val="15"/>
                <w:szCs w:val="15"/>
                <w:lang w:eastAsia="zh-CN"/>
              </w:rPr>
            </w:pPr>
            <w:r>
              <w:rPr>
                <w:rFonts w:hint="eastAsia"/>
                <w:color w:val="000000"/>
                <w:sz w:val="15"/>
                <w:szCs w:val="15"/>
                <w:lang w:eastAsia="zh-CN"/>
              </w:rPr>
              <w:t>内在-外在心理控制源量表</w:t>
            </w:r>
          </w:p>
        </w:tc>
        <w:tc>
          <w:tcPr>
            <w:tcW w:w="567" w:type="dxa"/>
            <w:tcBorders>
              <w:top w:val="nil"/>
              <w:left w:val="nil"/>
              <w:bottom w:val="single" w:color="auto" w:sz="4" w:space="0"/>
              <w:right w:val="single" w:color="auto" w:sz="4" w:space="0"/>
            </w:tcBorders>
            <w:shd w:val="clear" w:color="auto" w:fill="auto"/>
            <w:noWrap/>
            <w:vAlign w:val="center"/>
          </w:tcPr>
          <w:p w14:paraId="5AFDE14E">
            <w:pPr>
              <w:widowControl/>
              <w:spacing w:line="240" w:lineRule="exact"/>
              <w:jc w:val="center"/>
              <w:rPr>
                <w:color w:val="000000"/>
                <w:sz w:val="15"/>
                <w:szCs w:val="15"/>
              </w:rPr>
            </w:pPr>
            <w:r>
              <w:rPr>
                <w:rFonts w:hint="eastAsia"/>
                <w:color w:val="000000"/>
                <w:sz w:val="15"/>
                <w:szCs w:val="15"/>
              </w:rPr>
              <w:t>149</w:t>
            </w:r>
          </w:p>
        </w:tc>
        <w:tc>
          <w:tcPr>
            <w:tcW w:w="2551" w:type="dxa"/>
            <w:tcBorders>
              <w:top w:val="nil"/>
              <w:left w:val="nil"/>
              <w:bottom w:val="single" w:color="auto" w:sz="4" w:space="0"/>
              <w:right w:val="single" w:color="auto" w:sz="4" w:space="0"/>
            </w:tcBorders>
            <w:shd w:val="clear" w:color="auto" w:fill="auto"/>
            <w:noWrap/>
            <w:vAlign w:val="center"/>
          </w:tcPr>
          <w:p w14:paraId="4DF14CEA">
            <w:pPr>
              <w:widowControl/>
              <w:spacing w:line="240" w:lineRule="exact"/>
              <w:jc w:val="center"/>
              <w:rPr>
                <w:color w:val="000000"/>
                <w:sz w:val="15"/>
                <w:szCs w:val="15"/>
              </w:rPr>
            </w:pPr>
            <w:r>
              <w:rPr>
                <w:rFonts w:hint="eastAsia"/>
                <w:color w:val="000000"/>
                <w:sz w:val="15"/>
                <w:szCs w:val="15"/>
              </w:rPr>
              <w:t>老年临床评定量表</w:t>
            </w:r>
          </w:p>
        </w:tc>
      </w:tr>
      <w:tr w14:paraId="48DD576E">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AB706BB">
            <w:pPr>
              <w:widowControl/>
              <w:spacing w:line="240" w:lineRule="exact"/>
              <w:jc w:val="center"/>
              <w:rPr>
                <w:color w:val="000000"/>
                <w:sz w:val="15"/>
                <w:szCs w:val="15"/>
              </w:rPr>
            </w:pPr>
            <w:r>
              <w:rPr>
                <w:rFonts w:hint="eastAsia"/>
                <w:color w:val="000000"/>
                <w:sz w:val="15"/>
                <w:szCs w:val="15"/>
              </w:rPr>
              <w:t>14</w:t>
            </w:r>
          </w:p>
        </w:tc>
        <w:tc>
          <w:tcPr>
            <w:tcW w:w="2409" w:type="dxa"/>
            <w:tcBorders>
              <w:top w:val="nil"/>
              <w:left w:val="nil"/>
              <w:bottom w:val="single" w:color="auto" w:sz="4" w:space="0"/>
              <w:right w:val="single" w:color="auto" w:sz="4" w:space="0"/>
            </w:tcBorders>
            <w:shd w:val="clear" w:color="auto" w:fill="auto"/>
            <w:noWrap/>
            <w:vAlign w:val="center"/>
          </w:tcPr>
          <w:p w14:paraId="30398E24">
            <w:pPr>
              <w:widowControl/>
              <w:spacing w:line="240" w:lineRule="exact"/>
              <w:jc w:val="center"/>
              <w:rPr>
                <w:color w:val="000000"/>
                <w:sz w:val="15"/>
                <w:szCs w:val="15"/>
              </w:rPr>
            </w:pPr>
            <w:r>
              <w:rPr>
                <w:rFonts w:hint="eastAsia"/>
                <w:color w:val="000000"/>
                <w:sz w:val="15"/>
                <w:szCs w:val="15"/>
              </w:rPr>
              <w:t>贝克焦虑量表</w:t>
            </w:r>
          </w:p>
        </w:tc>
        <w:tc>
          <w:tcPr>
            <w:tcW w:w="441" w:type="dxa"/>
            <w:tcBorders>
              <w:top w:val="nil"/>
              <w:left w:val="nil"/>
              <w:bottom w:val="single" w:color="auto" w:sz="4" w:space="0"/>
              <w:right w:val="single" w:color="auto" w:sz="4" w:space="0"/>
            </w:tcBorders>
            <w:shd w:val="clear" w:color="auto" w:fill="auto"/>
            <w:noWrap/>
            <w:vAlign w:val="center"/>
          </w:tcPr>
          <w:p w14:paraId="7B00E554">
            <w:pPr>
              <w:widowControl/>
              <w:spacing w:line="240" w:lineRule="exact"/>
              <w:jc w:val="center"/>
              <w:rPr>
                <w:color w:val="000000"/>
                <w:sz w:val="15"/>
                <w:szCs w:val="15"/>
              </w:rPr>
            </w:pPr>
            <w:r>
              <w:rPr>
                <w:rFonts w:hint="eastAsia"/>
                <w:color w:val="000000"/>
                <w:sz w:val="15"/>
                <w:szCs w:val="15"/>
              </w:rPr>
              <w:t>82</w:t>
            </w:r>
          </w:p>
        </w:tc>
        <w:tc>
          <w:tcPr>
            <w:tcW w:w="2678" w:type="dxa"/>
            <w:tcBorders>
              <w:top w:val="nil"/>
              <w:left w:val="nil"/>
              <w:bottom w:val="single" w:color="auto" w:sz="4" w:space="0"/>
              <w:right w:val="single" w:color="auto" w:sz="4" w:space="0"/>
            </w:tcBorders>
            <w:shd w:val="clear" w:color="auto" w:fill="auto"/>
            <w:noWrap/>
            <w:vAlign w:val="center"/>
          </w:tcPr>
          <w:p w14:paraId="675C29DD">
            <w:pPr>
              <w:widowControl/>
              <w:spacing w:line="240" w:lineRule="exact"/>
              <w:jc w:val="center"/>
              <w:rPr>
                <w:color w:val="000000"/>
                <w:sz w:val="15"/>
                <w:szCs w:val="15"/>
                <w:lang w:eastAsia="zh-CN"/>
              </w:rPr>
            </w:pPr>
            <w:r>
              <w:rPr>
                <w:rFonts w:hint="eastAsia"/>
                <w:color w:val="000000"/>
                <w:sz w:val="15"/>
                <w:szCs w:val="15"/>
                <w:lang w:eastAsia="zh-CN"/>
              </w:rPr>
              <w:t>中学生考试焦虑测验问卷</w:t>
            </w:r>
          </w:p>
        </w:tc>
        <w:tc>
          <w:tcPr>
            <w:tcW w:w="567" w:type="dxa"/>
            <w:tcBorders>
              <w:top w:val="nil"/>
              <w:left w:val="nil"/>
              <w:bottom w:val="single" w:color="auto" w:sz="4" w:space="0"/>
              <w:right w:val="single" w:color="auto" w:sz="4" w:space="0"/>
            </w:tcBorders>
            <w:shd w:val="clear" w:color="auto" w:fill="auto"/>
            <w:noWrap/>
            <w:vAlign w:val="center"/>
          </w:tcPr>
          <w:p w14:paraId="77D711CD">
            <w:pPr>
              <w:widowControl/>
              <w:spacing w:line="240" w:lineRule="exact"/>
              <w:jc w:val="center"/>
              <w:rPr>
                <w:color w:val="000000"/>
                <w:sz w:val="15"/>
                <w:szCs w:val="15"/>
              </w:rPr>
            </w:pPr>
            <w:r>
              <w:rPr>
                <w:rFonts w:hint="eastAsia"/>
                <w:color w:val="000000"/>
                <w:sz w:val="15"/>
                <w:szCs w:val="15"/>
              </w:rPr>
              <w:t>150</w:t>
            </w:r>
          </w:p>
        </w:tc>
        <w:tc>
          <w:tcPr>
            <w:tcW w:w="2551" w:type="dxa"/>
            <w:tcBorders>
              <w:top w:val="nil"/>
              <w:left w:val="nil"/>
              <w:bottom w:val="single" w:color="auto" w:sz="4" w:space="0"/>
              <w:right w:val="single" w:color="auto" w:sz="4" w:space="0"/>
            </w:tcBorders>
            <w:shd w:val="clear" w:color="auto" w:fill="auto"/>
            <w:noWrap/>
            <w:vAlign w:val="center"/>
          </w:tcPr>
          <w:p w14:paraId="060F3345">
            <w:pPr>
              <w:widowControl/>
              <w:spacing w:line="240" w:lineRule="exact"/>
              <w:jc w:val="center"/>
              <w:rPr>
                <w:color w:val="000000"/>
                <w:sz w:val="15"/>
                <w:szCs w:val="15"/>
                <w:lang w:eastAsia="zh-CN"/>
              </w:rPr>
            </w:pPr>
            <w:r>
              <w:rPr>
                <w:rFonts w:hint="eastAsia"/>
                <w:color w:val="000000"/>
                <w:sz w:val="15"/>
                <w:szCs w:val="15"/>
                <w:lang w:eastAsia="zh-CN"/>
              </w:rPr>
              <w:t>儿童焦虑性情绪障碍筛查量表</w:t>
            </w:r>
          </w:p>
        </w:tc>
      </w:tr>
      <w:tr w14:paraId="79646C47">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4133432">
            <w:pPr>
              <w:widowControl/>
              <w:spacing w:line="240" w:lineRule="exact"/>
              <w:jc w:val="center"/>
              <w:rPr>
                <w:color w:val="000000"/>
                <w:sz w:val="15"/>
                <w:szCs w:val="15"/>
              </w:rPr>
            </w:pPr>
            <w:r>
              <w:rPr>
                <w:rFonts w:hint="eastAsia"/>
                <w:color w:val="000000"/>
                <w:sz w:val="15"/>
                <w:szCs w:val="15"/>
              </w:rPr>
              <w:t>15</w:t>
            </w:r>
          </w:p>
        </w:tc>
        <w:tc>
          <w:tcPr>
            <w:tcW w:w="2409" w:type="dxa"/>
            <w:tcBorders>
              <w:top w:val="nil"/>
              <w:left w:val="nil"/>
              <w:bottom w:val="single" w:color="auto" w:sz="4" w:space="0"/>
              <w:right w:val="single" w:color="auto" w:sz="4" w:space="0"/>
            </w:tcBorders>
            <w:shd w:val="clear" w:color="auto" w:fill="auto"/>
            <w:noWrap/>
            <w:vAlign w:val="center"/>
          </w:tcPr>
          <w:p w14:paraId="70B513FC">
            <w:pPr>
              <w:widowControl/>
              <w:spacing w:line="240" w:lineRule="exact"/>
              <w:jc w:val="center"/>
              <w:rPr>
                <w:color w:val="000000"/>
                <w:sz w:val="15"/>
                <w:szCs w:val="15"/>
              </w:rPr>
            </w:pPr>
            <w:r>
              <w:rPr>
                <w:rFonts w:hint="eastAsia"/>
                <w:color w:val="000000"/>
                <w:sz w:val="15"/>
                <w:szCs w:val="15"/>
              </w:rPr>
              <w:t>贝克抑郁自评问卷</w:t>
            </w:r>
          </w:p>
        </w:tc>
        <w:tc>
          <w:tcPr>
            <w:tcW w:w="441" w:type="dxa"/>
            <w:tcBorders>
              <w:top w:val="nil"/>
              <w:left w:val="nil"/>
              <w:bottom w:val="single" w:color="auto" w:sz="4" w:space="0"/>
              <w:right w:val="single" w:color="auto" w:sz="4" w:space="0"/>
            </w:tcBorders>
            <w:shd w:val="clear" w:color="auto" w:fill="auto"/>
            <w:noWrap/>
            <w:vAlign w:val="center"/>
          </w:tcPr>
          <w:p w14:paraId="3240CB83">
            <w:pPr>
              <w:widowControl/>
              <w:spacing w:line="240" w:lineRule="exact"/>
              <w:jc w:val="center"/>
              <w:rPr>
                <w:color w:val="000000"/>
                <w:sz w:val="15"/>
                <w:szCs w:val="15"/>
              </w:rPr>
            </w:pPr>
            <w:r>
              <w:rPr>
                <w:rFonts w:hint="eastAsia"/>
                <w:color w:val="000000"/>
                <w:sz w:val="15"/>
                <w:szCs w:val="15"/>
              </w:rPr>
              <w:t>83</w:t>
            </w:r>
          </w:p>
        </w:tc>
        <w:tc>
          <w:tcPr>
            <w:tcW w:w="2678" w:type="dxa"/>
            <w:tcBorders>
              <w:top w:val="nil"/>
              <w:left w:val="nil"/>
              <w:bottom w:val="single" w:color="auto" w:sz="4" w:space="0"/>
              <w:right w:val="single" w:color="auto" w:sz="4" w:space="0"/>
            </w:tcBorders>
            <w:shd w:val="clear" w:color="auto" w:fill="auto"/>
            <w:noWrap/>
            <w:vAlign w:val="center"/>
          </w:tcPr>
          <w:p w14:paraId="33C7569D">
            <w:pPr>
              <w:widowControl/>
              <w:spacing w:line="240" w:lineRule="exact"/>
              <w:jc w:val="center"/>
              <w:rPr>
                <w:color w:val="000000"/>
                <w:sz w:val="15"/>
                <w:szCs w:val="15"/>
              </w:rPr>
            </w:pPr>
            <w:r>
              <w:rPr>
                <w:rFonts w:hint="eastAsia"/>
                <w:color w:val="000000"/>
                <w:sz w:val="15"/>
                <w:szCs w:val="15"/>
              </w:rPr>
              <w:t>国际勃起功能指数-5</w:t>
            </w:r>
          </w:p>
        </w:tc>
        <w:tc>
          <w:tcPr>
            <w:tcW w:w="567" w:type="dxa"/>
            <w:tcBorders>
              <w:top w:val="nil"/>
              <w:left w:val="nil"/>
              <w:bottom w:val="single" w:color="auto" w:sz="4" w:space="0"/>
              <w:right w:val="single" w:color="auto" w:sz="4" w:space="0"/>
            </w:tcBorders>
            <w:shd w:val="clear" w:color="auto" w:fill="auto"/>
            <w:noWrap/>
            <w:vAlign w:val="center"/>
          </w:tcPr>
          <w:p w14:paraId="6DD8BFBE">
            <w:pPr>
              <w:widowControl/>
              <w:spacing w:line="240" w:lineRule="exact"/>
              <w:jc w:val="center"/>
              <w:rPr>
                <w:color w:val="000000"/>
                <w:sz w:val="15"/>
                <w:szCs w:val="15"/>
              </w:rPr>
            </w:pPr>
            <w:r>
              <w:rPr>
                <w:rFonts w:hint="eastAsia"/>
                <w:color w:val="000000"/>
                <w:sz w:val="15"/>
                <w:szCs w:val="15"/>
              </w:rPr>
              <w:t>151</w:t>
            </w:r>
          </w:p>
        </w:tc>
        <w:tc>
          <w:tcPr>
            <w:tcW w:w="2551" w:type="dxa"/>
            <w:tcBorders>
              <w:top w:val="nil"/>
              <w:left w:val="nil"/>
              <w:bottom w:val="single" w:color="auto" w:sz="4" w:space="0"/>
              <w:right w:val="single" w:color="auto" w:sz="4" w:space="0"/>
            </w:tcBorders>
            <w:shd w:val="clear" w:color="auto" w:fill="auto"/>
            <w:noWrap/>
            <w:vAlign w:val="center"/>
          </w:tcPr>
          <w:p w14:paraId="5778FEDD">
            <w:pPr>
              <w:widowControl/>
              <w:spacing w:line="240" w:lineRule="exact"/>
              <w:jc w:val="center"/>
              <w:rPr>
                <w:color w:val="000000"/>
                <w:sz w:val="15"/>
                <w:szCs w:val="15"/>
              </w:rPr>
            </w:pPr>
            <w:r>
              <w:rPr>
                <w:rFonts w:hint="eastAsia"/>
                <w:color w:val="000000"/>
                <w:sz w:val="15"/>
                <w:szCs w:val="15"/>
              </w:rPr>
              <w:t>症状自评量表</w:t>
            </w:r>
          </w:p>
        </w:tc>
      </w:tr>
      <w:tr w14:paraId="406A04D7">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4995B3A">
            <w:pPr>
              <w:widowControl/>
              <w:spacing w:line="240" w:lineRule="exact"/>
              <w:jc w:val="center"/>
              <w:rPr>
                <w:color w:val="000000"/>
                <w:sz w:val="15"/>
                <w:szCs w:val="15"/>
              </w:rPr>
            </w:pPr>
            <w:r>
              <w:rPr>
                <w:rFonts w:hint="eastAsia"/>
                <w:color w:val="000000"/>
                <w:sz w:val="15"/>
                <w:szCs w:val="15"/>
              </w:rPr>
              <w:t>16</w:t>
            </w:r>
          </w:p>
        </w:tc>
        <w:tc>
          <w:tcPr>
            <w:tcW w:w="2409" w:type="dxa"/>
            <w:tcBorders>
              <w:top w:val="nil"/>
              <w:left w:val="nil"/>
              <w:bottom w:val="single" w:color="auto" w:sz="4" w:space="0"/>
              <w:right w:val="single" w:color="auto" w:sz="4" w:space="0"/>
            </w:tcBorders>
            <w:shd w:val="clear" w:color="auto" w:fill="auto"/>
            <w:noWrap/>
            <w:vAlign w:val="center"/>
          </w:tcPr>
          <w:p w14:paraId="5645B02D">
            <w:pPr>
              <w:widowControl/>
              <w:spacing w:line="240" w:lineRule="exact"/>
              <w:jc w:val="center"/>
              <w:rPr>
                <w:color w:val="000000"/>
                <w:sz w:val="15"/>
                <w:szCs w:val="15"/>
              </w:rPr>
            </w:pPr>
            <w:r>
              <w:rPr>
                <w:rFonts w:hint="eastAsia"/>
                <w:color w:val="000000"/>
                <w:sz w:val="15"/>
                <w:szCs w:val="15"/>
              </w:rPr>
              <w:t>Blessed 痴呆量表</w:t>
            </w:r>
          </w:p>
        </w:tc>
        <w:tc>
          <w:tcPr>
            <w:tcW w:w="441" w:type="dxa"/>
            <w:tcBorders>
              <w:top w:val="nil"/>
              <w:left w:val="nil"/>
              <w:bottom w:val="single" w:color="auto" w:sz="4" w:space="0"/>
              <w:right w:val="single" w:color="auto" w:sz="4" w:space="0"/>
            </w:tcBorders>
            <w:shd w:val="clear" w:color="auto" w:fill="auto"/>
            <w:noWrap/>
            <w:vAlign w:val="center"/>
          </w:tcPr>
          <w:p w14:paraId="2E0D9073">
            <w:pPr>
              <w:widowControl/>
              <w:spacing w:line="240" w:lineRule="exact"/>
              <w:jc w:val="center"/>
              <w:rPr>
                <w:color w:val="000000"/>
                <w:sz w:val="15"/>
                <w:szCs w:val="15"/>
              </w:rPr>
            </w:pPr>
            <w:r>
              <w:rPr>
                <w:rFonts w:hint="eastAsia"/>
                <w:color w:val="000000"/>
                <w:sz w:val="15"/>
                <w:szCs w:val="15"/>
              </w:rPr>
              <w:t>84</w:t>
            </w:r>
          </w:p>
        </w:tc>
        <w:tc>
          <w:tcPr>
            <w:tcW w:w="2678" w:type="dxa"/>
            <w:tcBorders>
              <w:top w:val="nil"/>
              <w:left w:val="nil"/>
              <w:bottom w:val="single" w:color="auto" w:sz="4" w:space="0"/>
              <w:right w:val="single" w:color="auto" w:sz="4" w:space="0"/>
            </w:tcBorders>
            <w:shd w:val="clear" w:color="auto" w:fill="auto"/>
            <w:noWrap/>
            <w:vAlign w:val="center"/>
          </w:tcPr>
          <w:p w14:paraId="0BC87012">
            <w:pPr>
              <w:widowControl/>
              <w:spacing w:line="240" w:lineRule="exact"/>
              <w:jc w:val="center"/>
              <w:rPr>
                <w:color w:val="000000"/>
                <w:sz w:val="15"/>
                <w:szCs w:val="15"/>
                <w:lang w:eastAsia="zh-CN"/>
              </w:rPr>
            </w:pPr>
            <w:r>
              <w:rPr>
                <w:rFonts w:hint="eastAsia"/>
                <w:color w:val="000000"/>
                <w:sz w:val="15"/>
                <w:szCs w:val="15"/>
                <w:lang w:eastAsia="zh-CN"/>
              </w:rPr>
              <w:t>中学生特质焦虑影响因素问卷</w:t>
            </w:r>
          </w:p>
        </w:tc>
        <w:tc>
          <w:tcPr>
            <w:tcW w:w="567" w:type="dxa"/>
            <w:tcBorders>
              <w:top w:val="nil"/>
              <w:left w:val="nil"/>
              <w:bottom w:val="single" w:color="auto" w:sz="4" w:space="0"/>
              <w:right w:val="single" w:color="auto" w:sz="4" w:space="0"/>
            </w:tcBorders>
            <w:shd w:val="clear" w:color="auto" w:fill="auto"/>
            <w:noWrap/>
            <w:vAlign w:val="center"/>
          </w:tcPr>
          <w:p w14:paraId="401F146F">
            <w:pPr>
              <w:widowControl/>
              <w:spacing w:line="240" w:lineRule="exact"/>
              <w:jc w:val="center"/>
              <w:rPr>
                <w:color w:val="000000"/>
                <w:sz w:val="15"/>
                <w:szCs w:val="15"/>
              </w:rPr>
            </w:pPr>
            <w:r>
              <w:rPr>
                <w:rFonts w:hint="eastAsia"/>
                <w:color w:val="000000"/>
                <w:sz w:val="15"/>
                <w:szCs w:val="15"/>
              </w:rPr>
              <w:t>152</w:t>
            </w:r>
          </w:p>
        </w:tc>
        <w:tc>
          <w:tcPr>
            <w:tcW w:w="2551" w:type="dxa"/>
            <w:tcBorders>
              <w:top w:val="nil"/>
              <w:left w:val="nil"/>
              <w:bottom w:val="single" w:color="auto" w:sz="4" w:space="0"/>
              <w:right w:val="single" w:color="auto" w:sz="4" w:space="0"/>
            </w:tcBorders>
            <w:shd w:val="clear" w:color="auto" w:fill="auto"/>
            <w:noWrap/>
            <w:vAlign w:val="center"/>
          </w:tcPr>
          <w:p w14:paraId="58818951">
            <w:pPr>
              <w:widowControl/>
              <w:spacing w:line="240" w:lineRule="exact"/>
              <w:jc w:val="center"/>
              <w:rPr>
                <w:color w:val="000000"/>
                <w:sz w:val="15"/>
                <w:szCs w:val="15"/>
              </w:rPr>
            </w:pPr>
            <w:r>
              <w:rPr>
                <w:rFonts w:hint="eastAsia"/>
                <w:color w:val="000000"/>
                <w:sz w:val="15"/>
                <w:szCs w:val="15"/>
              </w:rPr>
              <w:t>睡眠信念和态度问卷</w:t>
            </w:r>
          </w:p>
        </w:tc>
      </w:tr>
      <w:tr w14:paraId="32BF229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A387589">
            <w:pPr>
              <w:widowControl/>
              <w:spacing w:line="240" w:lineRule="exact"/>
              <w:jc w:val="center"/>
              <w:rPr>
                <w:color w:val="000000"/>
                <w:sz w:val="15"/>
                <w:szCs w:val="15"/>
              </w:rPr>
            </w:pPr>
            <w:r>
              <w:rPr>
                <w:rFonts w:hint="eastAsia"/>
                <w:color w:val="000000"/>
                <w:sz w:val="15"/>
                <w:szCs w:val="15"/>
              </w:rPr>
              <w:t>17</w:t>
            </w:r>
          </w:p>
        </w:tc>
        <w:tc>
          <w:tcPr>
            <w:tcW w:w="2409" w:type="dxa"/>
            <w:tcBorders>
              <w:top w:val="nil"/>
              <w:left w:val="nil"/>
              <w:bottom w:val="single" w:color="auto" w:sz="4" w:space="0"/>
              <w:right w:val="single" w:color="auto" w:sz="4" w:space="0"/>
            </w:tcBorders>
            <w:shd w:val="clear" w:color="auto" w:fill="auto"/>
            <w:noWrap/>
            <w:vAlign w:val="center"/>
          </w:tcPr>
          <w:p w14:paraId="34054037">
            <w:pPr>
              <w:widowControl/>
              <w:spacing w:line="240" w:lineRule="exact"/>
              <w:jc w:val="center"/>
              <w:rPr>
                <w:color w:val="000000"/>
                <w:sz w:val="15"/>
                <w:szCs w:val="15"/>
              </w:rPr>
            </w:pPr>
            <w:r>
              <w:rPr>
                <w:rFonts w:hint="eastAsia"/>
                <w:color w:val="000000"/>
                <w:sz w:val="15"/>
                <w:szCs w:val="15"/>
              </w:rPr>
              <w:t>本德格式塔测验</w:t>
            </w:r>
          </w:p>
        </w:tc>
        <w:tc>
          <w:tcPr>
            <w:tcW w:w="441" w:type="dxa"/>
            <w:tcBorders>
              <w:top w:val="nil"/>
              <w:left w:val="nil"/>
              <w:bottom w:val="single" w:color="auto" w:sz="4" w:space="0"/>
              <w:right w:val="single" w:color="auto" w:sz="4" w:space="0"/>
            </w:tcBorders>
            <w:shd w:val="clear" w:color="auto" w:fill="auto"/>
            <w:noWrap/>
            <w:vAlign w:val="center"/>
          </w:tcPr>
          <w:p w14:paraId="48E20919">
            <w:pPr>
              <w:widowControl/>
              <w:spacing w:line="240" w:lineRule="exact"/>
              <w:jc w:val="center"/>
              <w:rPr>
                <w:color w:val="000000"/>
                <w:sz w:val="15"/>
                <w:szCs w:val="15"/>
              </w:rPr>
            </w:pPr>
            <w:r>
              <w:rPr>
                <w:rFonts w:hint="eastAsia"/>
                <w:color w:val="000000"/>
                <w:sz w:val="15"/>
                <w:szCs w:val="15"/>
              </w:rPr>
              <w:t>85</w:t>
            </w:r>
          </w:p>
        </w:tc>
        <w:tc>
          <w:tcPr>
            <w:tcW w:w="2678" w:type="dxa"/>
            <w:tcBorders>
              <w:top w:val="nil"/>
              <w:left w:val="nil"/>
              <w:bottom w:val="single" w:color="auto" w:sz="4" w:space="0"/>
              <w:right w:val="single" w:color="auto" w:sz="4" w:space="0"/>
            </w:tcBorders>
            <w:shd w:val="clear" w:color="auto" w:fill="auto"/>
            <w:noWrap/>
            <w:vAlign w:val="center"/>
          </w:tcPr>
          <w:p w14:paraId="5C5088EC">
            <w:pPr>
              <w:widowControl/>
              <w:spacing w:line="240" w:lineRule="exact"/>
              <w:jc w:val="center"/>
              <w:rPr>
                <w:color w:val="000000"/>
                <w:sz w:val="15"/>
                <w:szCs w:val="15"/>
              </w:rPr>
            </w:pPr>
            <w:r>
              <w:rPr>
                <w:rFonts w:hint="eastAsia"/>
                <w:color w:val="000000"/>
                <w:sz w:val="15"/>
                <w:szCs w:val="15"/>
              </w:rPr>
              <w:t>自评内在动机量表</w:t>
            </w:r>
          </w:p>
        </w:tc>
        <w:tc>
          <w:tcPr>
            <w:tcW w:w="567" w:type="dxa"/>
            <w:tcBorders>
              <w:top w:val="nil"/>
              <w:left w:val="nil"/>
              <w:bottom w:val="single" w:color="auto" w:sz="4" w:space="0"/>
              <w:right w:val="single" w:color="auto" w:sz="4" w:space="0"/>
            </w:tcBorders>
            <w:shd w:val="clear" w:color="auto" w:fill="auto"/>
            <w:noWrap/>
            <w:vAlign w:val="center"/>
          </w:tcPr>
          <w:p w14:paraId="1CC7DC33">
            <w:pPr>
              <w:widowControl/>
              <w:spacing w:line="240" w:lineRule="exact"/>
              <w:jc w:val="center"/>
              <w:rPr>
                <w:color w:val="000000"/>
                <w:sz w:val="15"/>
                <w:szCs w:val="15"/>
              </w:rPr>
            </w:pPr>
            <w:r>
              <w:rPr>
                <w:rFonts w:hint="eastAsia"/>
                <w:color w:val="000000"/>
                <w:sz w:val="15"/>
                <w:szCs w:val="15"/>
              </w:rPr>
              <w:t>153</w:t>
            </w:r>
          </w:p>
        </w:tc>
        <w:tc>
          <w:tcPr>
            <w:tcW w:w="2551" w:type="dxa"/>
            <w:tcBorders>
              <w:top w:val="nil"/>
              <w:left w:val="nil"/>
              <w:bottom w:val="single" w:color="auto" w:sz="4" w:space="0"/>
              <w:right w:val="single" w:color="auto" w:sz="4" w:space="0"/>
            </w:tcBorders>
            <w:shd w:val="clear" w:color="auto" w:fill="auto"/>
            <w:noWrap/>
            <w:vAlign w:val="center"/>
          </w:tcPr>
          <w:p w14:paraId="681F0952">
            <w:pPr>
              <w:widowControl/>
              <w:spacing w:line="240" w:lineRule="exact"/>
              <w:jc w:val="center"/>
              <w:rPr>
                <w:color w:val="000000"/>
                <w:sz w:val="15"/>
                <w:szCs w:val="15"/>
              </w:rPr>
            </w:pPr>
            <w:r>
              <w:rPr>
                <w:rFonts w:hint="eastAsia"/>
                <w:color w:val="000000"/>
                <w:sz w:val="15"/>
                <w:szCs w:val="15"/>
              </w:rPr>
              <w:t>简易应对方式</w:t>
            </w:r>
          </w:p>
        </w:tc>
      </w:tr>
      <w:tr w14:paraId="1D1CFE3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32E230A">
            <w:pPr>
              <w:widowControl/>
              <w:spacing w:line="240" w:lineRule="exact"/>
              <w:jc w:val="center"/>
              <w:rPr>
                <w:color w:val="000000"/>
                <w:sz w:val="15"/>
                <w:szCs w:val="15"/>
              </w:rPr>
            </w:pPr>
            <w:r>
              <w:rPr>
                <w:rFonts w:hint="eastAsia"/>
                <w:color w:val="000000"/>
                <w:sz w:val="15"/>
                <w:szCs w:val="15"/>
              </w:rPr>
              <w:t>18</w:t>
            </w:r>
          </w:p>
        </w:tc>
        <w:tc>
          <w:tcPr>
            <w:tcW w:w="2409" w:type="dxa"/>
            <w:tcBorders>
              <w:top w:val="nil"/>
              <w:left w:val="nil"/>
              <w:bottom w:val="single" w:color="auto" w:sz="4" w:space="0"/>
              <w:right w:val="single" w:color="auto" w:sz="4" w:space="0"/>
            </w:tcBorders>
            <w:shd w:val="clear" w:color="auto" w:fill="auto"/>
            <w:noWrap/>
            <w:vAlign w:val="center"/>
          </w:tcPr>
          <w:p w14:paraId="60A2E87C">
            <w:pPr>
              <w:widowControl/>
              <w:spacing w:line="240" w:lineRule="exact"/>
              <w:jc w:val="center"/>
              <w:rPr>
                <w:color w:val="000000"/>
                <w:sz w:val="15"/>
                <w:szCs w:val="15"/>
              </w:rPr>
            </w:pPr>
            <w:r>
              <w:rPr>
                <w:rFonts w:hint="eastAsia"/>
                <w:color w:val="000000"/>
                <w:sz w:val="15"/>
                <w:szCs w:val="15"/>
              </w:rPr>
              <w:t>简明阴性症状量表</w:t>
            </w:r>
          </w:p>
        </w:tc>
        <w:tc>
          <w:tcPr>
            <w:tcW w:w="441" w:type="dxa"/>
            <w:tcBorders>
              <w:top w:val="nil"/>
              <w:left w:val="nil"/>
              <w:bottom w:val="single" w:color="auto" w:sz="4" w:space="0"/>
              <w:right w:val="single" w:color="auto" w:sz="4" w:space="0"/>
            </w:tcBorders>
            <w:shd w:val="clear" w:color="auto" w:fill="auto"/>
            <w:noWrap/>
            <w:vAlign w:val="center"/>
          </w:tcPr>
          <w:p w14:paraId="221D1C3F">
            <w:pPr>
              <w:widowControl/>
              <w:spacing w:line="240" w:lineRule="exact"/>
              <w:jc w:val="center"/>
              <w:rPr>
                <w:color w:val="000000"/>
                <w:sz w:val="15"/>
                <w:szCs w:val="15"/>
              </w:rPr>
            </w:pPr>
            <w:r>
              <w:rPr>
                <w:rFonts w:hint="eastAsia"/>
                <w:color w:val="000000"/>
                <w:sz w:val="15"/>
                <w:szCs w:val="15"/>
              </w:rPr>
              <w:t>86</w:t>
            </w:r>
          </w:p>
        </w:tc>
        <w:tc>
          <w:tcPr>
            <w:tcW w:w="2678" w:type="dxa"/>
            <w:tcBorders>
              <w:top w:val="nil"/>
              <w:left w:val="nil"/>
              <w:bottom w:val="single" w:color="auto" w:sz="4" w:space="0"/>
              <w:right w:val="single" w:color="auto" w:sz="4" w:space="0"/>
            </w:tcBorders>
            <w:shd w:val="clear" w:color="auto" w:fill="auto"/>
            <w:noWrap/>
            <w:vAlign w:val="center"/>
          </w:tcPr>
          <w:p w14:paraId="33154661">
            <w:pPr>
              <w:widowControl/>
              <w:spacing w:line="240" w:lineRule="exact"/>
              <w:jc w:val="center"/>
              <w:rPr>
                <w:color w:val="000000"/>
                <w:sz w:val="15"/>
                <w:szCs w:val="15"/>
                <w:lang w:eastAsia="zh-CN"/>
              </w:rPr>
            </w:pPr>
            <w:r>
              <w:rPr>
                <w:rFonts w:hint="eastAsia"/>
                <w:color w:val="000000"/>
                <w:sz w:val="15"/>
                <w:szCs w:val="15"/>
                <w:lang w:eastAsia="zh-CN"/>
              </w:rPr>
              <w:t>内控性、有势力的他人及机遇量表</w:t>
            </w:r>
          </w:p>
        </w:tc>
        <w:tc>
          <w:tcPr>
            <w:tcW w:w="567" w:type="dxa"/>
            <w:tcBorders>
              <w:top w:val="nil"/>
              <w:left w:val="nil"/>
              <w:bottom w:val="single" w:color="auto" w:sz="4" w:space="0"/>
              <w:right w:val="single" w:color="auto" w:sz="4" w:space="0"/>
            </w:tcBorders>
            <w:shd w:val="clear" w:color="auto" w:fill="auto"/>
            <w:noWrap/>
            <w:vAlign w:val="center"/>
          </w:tcPr>
          <w:p w14:paraId="5DF83201">
            <w:pPr>
              <w:widowControl/>
              <w:spacing w:line="240" w:lineRule="exact"/>
              <w:jc w:val="center"/>
              <w:rPr>
                <w:color w:val="000000"/>
                <w:sz w:val="15"/>
                <w:szCs w:val="15"/>
              </w:rPr>
            </w:pPr>
            <w:r>
              <w:rPr>
                <w:rFonts w:hint="eastAsia"/>
                <w:color w:val="000000"/>
                <w:sz w:val="15"/>
                <w:szCs w:val="15"/>
              </w:rPr>
              <w:t>154</w:t>
            </w:r>
          </w:p>
        </w:tc>
        <w:tc>
          <w:tcPr>
            <w:tcW w:w="2551" w:type="dxa"/>
            <w:tcBorders>
              <w:top w:val="nil"/>
              <w:left w:val="nil"/>
              <w:bottom w:val="single" w:color="auto" w:sz="4" w:space="0"/>
              <w:right w:val="single" w:color="auto" w:sz="4" w:space="0"/>
            </w:tcBorders>
            <w:shd w:val="clear" w:color="auto" w:fill="auto"/>
            <w:noWrap/>
            <w:vAlign w:val="center"/>
          </w:tcPr>
          <w:p w14:paraId="757C1299">
            <w:pPr>
              <w:widowControl/>
              <w:spacing w:line="240" w:lineRule="exact"/>
              <w:jc w:val="center"/>
              <w:rPr>
                <w:color w:val="000000"/>
                <w:sz w:val="15"/>
                <w:szCs w:val="15"/>
                <w:lang w:eastAsia="zh-CN"/>
              </w:rPr>
            </w:pPr>
            <w:r>
              <w:rPr>
                <w:rFonts w:hint="eastAsia"/>
                <w:color w:val="000000"/>
                <w:sz w:val="15"/>
                <w:szCs w:val="15"/>
                <w:lang w:eastAsia="zh-CN"/>
              </w:rPr>
              <w:t>中学生自我导向学习倾向性量表</w:t>
            </w:r>
          </w:p>
        </w:tc>
      </w:tr>
      <w:tr w14:paraId="1DC6B48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C8DB6C8">
            <w:pPr>
              <w:widowControl/>
              <w:spacing w:line="240" w:lineRule="exact"/>
              <w:jc w:val="center"/>
              <w:rPr>
                <w:color w:val="000000"/>
                <w:sz w:val="15"/>
                <w:szCs w:val="15"/>
              </w:rPr>
            </w:pPr>
            <w:r>
              <w:rPr>
                <w:rFonts w:hint="eastAsia"/>
                <w:color w:val="000000"/>
                <w:sz w:val="15"/>
                <w:szCs w:val="15"/>
              </w:rPr>
              <w:t>19</w:t>
            </w:r>
          </w:p>
        </w:tc>
        <w:tc>
          <w:tcPr>
            <w:tcW w:w="2409" w:type="dxa"/>
            <w:tcBorders>
              <w:top w:val="nil"/>
              <w:left w:val="nil"/>
              <w:bottom w:val="single" w:color="auto" w:sz="4" w:space="0"/>
              <w:right w:val="single" w:color="auto" w:sz="4" w:space="0"/>
            </w:tcBorders>
            <w:shd w:val="clear" w:color="auto" w:fill="auto"/>
            <w:noWrap/>
            <w:vAlign w:val="center"/>
          </w:tcPr>
          <w:p w14:paraId="5B214997">
            <w:pPr>
              <w:widowControl/>
              <w:spacing w:line="240" w:lineRule="exact"/>
              <w:jc w:val="center"/>
              <w:rPr>
                <w:color w:val="000000"/>
                <w:sz w:val="15"/>
                <w:szCs w:val="15"/>
              </w:rPr>
            </w:pPr>
            <w:r>
              <w:rPr>
                <w:rFonts w:hint="eastAsia"/>
                <w:color w:val="000000"/>
                <w:sz w:val="15"/>
                <w:szCs w:val="15"/>
              </w:rPr>
              <w:t>简明疼痛记录表</w:t>
            </w:r>
          </w:p>
        </w:tc>
        <w:tc>
          <w:tcPr>
            <w:tcW w:w="441" w:type="dxa"/>
            <w:tcBorders>
              <w:top w:val="nil"/>
              <w:left w:val="nil"/>
              <w:bottom w:val="single" w:color="auto" w:sz="4" w:space="0"/>
              <w:right w:val="single" w:color="auto" w:sz="4" w:space="0"/>
            </w:tcBorders>
            <w:shd w:val="clear" w:color="auto" w:fill="auto"/>
            <w:noWrap/>
            <w:vAlign w:val="center"/>
          </w:tcPr>
          <w:p w14:paraId="3784F049">
            <w:pPr>
              <w:widowControl/>
              <w:spacing w:line="240" w:lineRule="exact"/>
              <w:jc w:val="center"/>
              <w:rPr>
                <w:color w:val="000000"/>
                <w:sz w:val="15"/>
                <w:szCs w:val="15"/>
              </w:rPr>
            </w:pPr>
            <w:r>
              <w:rPr>
                <w:rFonts w:hint="eastAsia"/>
                <w:color w:val="000000"/>
                <w:sz w:val="15"/>
                <w:szCs w:val="15"/>
              </w:rPr>
              <w:t>87</w:t>
            </w:r>
          </w:p>
        </w:tc>
        <w:tc>
          <w:tcPr>
            <w:tcW w:w="2678" w:type="dxa"/>
            <w:tcBorders>
              <w:top w:val="nil"/>
              <w:left w:val="nil"/>
              <w:bottom w:val="single" w:color="auto" w:sz="4" w:space="0"/>
              <w:right w:val="single" w:color="auto" w:sz="4" w:space="0"/>
            </w:tcBorders>
            <w:shd w:val="clear" w:color="auto" w:fill="auto"/>
            <w:noWrap/>
            <w:vAlign w:val="center"/>
          </w:tcPr>
          <w:p w14:paraId="6E0BA8A5">
            <w:pPr>
              <w:widowControl/>
              <w:spacing w:line="240" w:lineRule="exact"/>
              <w:jc w:val="center"/>
              <w:rPr>
                <w:color w:val="000000"/>
                <w:sz w:val="15"/>
                <w:szCs w:val="15"/>
              </w:rPr>
            </w:pPr>
            <w:r>
              <w:rPr>
                <w:rFonts w:hint="eastAsia"/>
                <w:color w:val="000000"/>
                <w:sz w:val="15"/>
                <w:szCs w:val="15"/>
              </w:rPr>
              <w:t>不宁腿综合症量表</w:t>
            </w:r>
          </w:p>
        </w:tc>
        <w:tc>
          <w:tcPr>
            <w:tcW w:w="567" w:type="dxa"/>
            <w:tcBorders>
              <w:top w:val="nil"/>
              <w:left w:val="nil"/>
              <w:bottom w:val="single" w:color="auto" w:sz="4" w:space="0"/>
              <w:right w:val="single" w:color="auto" w:sz="4" w:space="0"/>
            </w:tcBorders>
            <w:shd w:val="clear" w:color="auto" w:fill="auto"/>
            <w:noWrap/>
            <w:vAlign w:val="center"/>
          </w:tcPr>
          <w:p w14:paraId="53326274">
            <w:pPr>
              <w:widowControl/>
              <w:spacing w:line="240" w:lineRule="exact"/>
              <w:jc w:val="center"/>
              <w:rPr>
                <w:color w:val="000000"/>
                <w:sz w:val="15"/>
                <w:szCs w:val="15"/>
              </w:rPr>
            </w:pPr>
            <w:r>
              <w:rPr>
                <w:rFonts w:hint="eastAsia"/>
                <w:color w:val="000000"/>
                <w:sz w:val="15"/>
                <w:szCs w:val="15"/>
              </w:rPr>
              <w:t>155</w:t>
            </w:r>
          </w:p>
        </w:tc>
        <w:tc>
          <w:tcPr>
            <w:tcW w:w="2551" w:type="dxa"/>
            <w:tcBorders>
              <w:top w:val="nil"/>
              <w:left w:val="nil"/>
              <w:bottom w:val="single" w:color="auto" w:sz="4" w:space="0"/>
              <w:right w:val="single" w:color="auto" w:sz="4" w:space="0"/>
            </w:tcBorders>
            <w:shd w:val="clear" w:color="auto" w:fill="auto"/>
            <w:noWrap/>
            <w:vAlign w:val="center"/>
          </w:tcPr>
          <w:p w14:paraId="27595D04">
            <w:pPr>
              <w:widowControl/>
              <w:spacing w:line="240" w:lineRule="exact"/>
              <w:jc w:val="center"/>
              <w:rPr>
                <w:color w:val="000000"/>
                <w:sz w:val="15"/>
                <w:szCs w:val="15"/>
              </w:rPr>
            </w:pPr>
            <w:r>
              <w:rPr>
                <w:rFonts w:hint="eastAsia"/>
                <w:color w:val="000000"/>
                <w:sz w:val="15"/>
                <w:szCs w:val="15"/>
              </w:rPr>
              <w:t>抑郁自评量表</w:t>
            </w:r>
          </w:p>
        </w:tc>
      </w:tr>
      <w:tr w14:paraId="4B9C89B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5CF7163">
            <w:pPr>
              <w:widowControl/>
              <w:spacing w:line="240" w:lineRule="exact"/>
              <w:jc w:val="center"/>
              <w:rPr>
                <w:color w:val="000000"/>
                <w:sz w:val="15"/>
                <w:szCs w:val="15"/>
              </w:rPr>
            </w:pPr>
            <w:r>
              <w:rPr>
                <w:rFonts w:hint="eastAsia"/>
                <w:color w:val="000000"/>
                <w:sz w:val="15"/>
                <w:szCs w:val="15"/>
              </w:rPr>
              <w:t>20</w:t>
            </w:r>
          </w:p>
        </w:tc>
        <w:tc>
          <w:tcPr>
            <w:tcW w:w="2409" w:type="dxa"/>
            <w:tcBorders>
              <w:top w:val="nil"/>
              <w:left w:val="nil"/>
              <w:bottom w:val="single" w:color="auto" w:sz="4" w:space="0"/>
              <w:right w:val="single" w:color="auto" w:sz="4" w:space="0"/>
            </w:tcBorders>
            <w:shd w:val="clear" w:color="auto" w:fill="auto"/>
            <w:noWrap/>
            <w:vAlign w:val="center"/>
          </w:tcPr>
          <w:p w14:paraId="57961347">
            <w:pPr>
              <w:widowControl/>
              <w:spacing w:line="240" w:lineRule="exact"/>
              <w:jc w:val="center"/>
              <w:rPr>
                <w:color w:val="000000"/>
                <w:sz w:val="15"/>
                <w:szCs w:val="15"/>
              </w:rPr>
            </w:pPr>
            <w:r>
              <w:rPr>
                <w:rFonts w:hint="eastAsia"/>
                <w:color w:val="000000"/>
                <w:sz w:val="15"/>
                <w:szCs w:val="15"/>
              </w:rPr>
              <w:t>简明精神病量表</w:t>
            </w:r>
          </w:p>
        </w:tc>
        <w:tc>
          <w:tcPr>
            <w:tcW w:w="441" w:type="dxa"/>
            <w:tcBorders>
              <w:top w:val="nil"/>
              <w:left w:val="nil"/>
              <w:bottom w:val="single" w:color="auto" w:sz="4" w:space="0"/>
              <w:right w:val="single" w:color="auto" w:sz="4" w:space="0"/>
            </w:tcBorders>
            <w:shd w:val="clear" w:color="auto" w:fill="auto"/>
            <w:noWrap/>
            <w:vAlign w:val="center"/>
          </w:tcPr>
          <w:p w14:paraId="0D668BC9">
            <w:pPr>
              <w:widowControl/>
              <w:spacing w:line="240" w:lineRule="exact"/>
              <w:jc w:val="center"/>
              <w:rPr>
                <w:color w:val="000000"/>
                <w:sz w:val="15"/>
                <w:szCs w:val="15"/>
              </w:rPr>
            </w:pPr>
            <w:r>
              <w:rPr>
                <w:rFonts w:hint="eastAsia"/>
                <w:color w:val="000000"/>
                <w:sz w:val="15"/>
                <w:szCs w:val="15"/>
              </w:rPr>
              <w:t>88</w:t>
            </w:r>
          </w:p>
        </w:tc>
        <w:tc>
          <w:tcPr>
            <w:tcW w:w="2678" w:type="dxa"/>
            <w:tcBorders>
              <w:top w:val="nil"/>
              <w:left w:val="nil"/>
              <w:bottom w:val="single" w:color="auto" w:sz="4" w:space="0"/>
              <w:right w:val="single" w:color="auto" w:sz="4" w:space="0"/>
            </w:tcBorders>
            <w:shd w:val="clear" w:color="auto" w:fill="auto"/>
            <w:noWrap/>
            <w:vAlign w:val="center"/>
          </w:tcPr>
          <w:p w14:paraId="54A2EA8E">
            <w:pPr>
              <w:widowControl/>
              <w:spacing w:line="240" w:lineRule="exact"/>
              <w:jc w:val="center"/>
              <w:rPr>
                <w:color w:val="000000"/>
                <w:sz w:val="15"/>
                <w:szCs w:val="15"/>
                <w:lang w:eastAsia="zh-CN"/>
              </w:rPr>
            </w:pPr>
            <w:r>
              <w:rPr>
                <w:rFonts w:hint="eastAsia"/>
                <w:color w:val="000000"/>
                <w:sz w:val="15"/>
                <w:szCs w:val="15"/>
                <w:lang w:eastAsia="zh-CN"/>
              </w:rPr>
              <w:t>失眠严重程度指数量表</w:t>
            </w:r>
          </w:p>
        </w:tc>
        <w:tc>
          <w:tcPr>
            <w:tcW w:w="567" w:type="dxa"/>
            <w:tcBorders>
              <w:top w:val="nil"/>
              <w:left w:val="nil"/>
              <w:bottom w:val="single" w:color="auto" w:sz="4" w:space="0"/>
              <w:right w:val="single" w:color="auto" w:sz="4" w:space="0"/>
            </w:tcBorders>
            <w:shd w:val="clear" w:color="auto" w:fill="auto"/>
            <w:noWrap/>
            <w:vAlign w:val="center"/>
          </w:tcPr>
          <w:p w14:paraId="3FE9C41B">
            <w:pPr>
              <w:widowControl/>
              <w:spacing w:line="240" w:lineRule="exact"/>
              <w:jc w:val="center"/>
              <w:rPr>
                <w:color w:val="000000"/>
                <w:sz w:val="15"/>
                <w:szCs w:val="15"/>
              </w:rPr>
            </w:pPr>
            <w:r>
              <w:rPr>
                <w:rFonts w:hint="eastAsia"/>
                <w:color w:val="000000"/>
                <w:sz w:val="15"/>
                <w:szCs w:val="15"/>
              </w:rPr>
              <w:t>156</w:t>
            </w:r>
          </w:p>
        </w:tc>
        <w:tc>
          <w:tcPr>
            <w:tcW w:w="2551" w:type="dxa"/>
            <w:tcBorders>
              <w:top w:val="nil"/>
              <w:left w:val="nil"/>
              <w:bottom w:val="single" w:color="auto" w:sz="4" w:space="0"/>
              <w:right w:val="single" w:color="auto" w:sz="4" w:space="0"/>
            </w:tcBorders>
            <w:shd w:val="clear" w:color="auto" w:fill="auto"/>
            <w:noWrap/>
            <w:vAlign w:val="center"/>
          </w:tcPr>
          <w:p w14:paraId="5C718BC0">
            <w:pPr>
              <w:widowControl/>
              <w:spacing w:line="240" w:lineRule="exact"/>
              <w:jc w:val="center"/>
              <w:rPr>
                <w:color w:val="000000"/>
                <w:sz w:val="15"/>
                <w:szCs w:val="15"/>
                <w:lang w:eastAsia="zh-CN"/>
              </w:rPr>
            </w:pPr>
            <w:r>
              <w:rPr>
                <w:rFonts w:hint="eastAsia"/>
                <w:color w:val="000000"/>
                <w:sz w:val="15"/>
                <w:szCs w:val="15"/>
                <w:lang w:eastAsia="zh-CN"/>
              </w:rPr>
              <w:t>社会功能缺陷筛选量表</w:t>
            </w:r>
          </w:p>
        </w:tc>
      </w:tr>
      <w:tr w14:paraId="560A579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A6B02C4">
            <w:pPr>
              <w:widowControl/>
              <w:spacing w:line="240" w:lineRule="exact"/>
              <w:jc w:val="center"/>
              <w:rPr>
                <w:color w:val="000000"/>
                <w:sz w:val="15"/>
                <w:szCs w:val="15"/>
              </w:rPr>
            </w:pPr>
            <w:r>
              <w:rPr>
                <w:rFonts w:hint="eastAsia"/>
                <w:color w:val="000000"/>
                <w:sz w:val="15"/>
                <w:szCs w:val="15"/>
              </w:rPr>
              <w:t>21</w:t>
            </w:r>
          </w:p>
        </w:tc>
        <w:tc>
          <w:tcPr>
            <w:tcW w:w="2409" w:type="dxa"/>
            <w:tcBorders>
              <w:top w:val="nil"/>
              <w:left w:val="nil"/>
              <w:bottom w:val="single" w:color="auto" w:sz="4" w:space="0"/>
              <w:right w:val="single" w:color="auto" w:sz="4" w:space="0"/>
            </w:tcBorders>
            <w:shd w:val="clear" w:color="auto" w:fill="auto"/>
            <w:noWrap/>
            <w:vAlign w:val="center"/>
          </w:tcPr>
          <w:p w14:paraId="28D506E2">
            <w:pPr>
              <w:widowControl/>
              <w:spacing w:line="240" w:lineRule="exact"/>
              <w:jc w:val="center"/>
              <w:rPr>
                <w:color w:val="000000"/>
                <w:sz w:val="15"/>
                <w:szCs w:val="15"/>
              </w:rPr>
            </w:pPr>
            <w:r>
              <w:rPr>
                <w:rFonts w:hint="eastAsia"/>
                <w:color w:val="000000"/>
                <w:sz w:val="15"/>
                <w:szCs w:val="15"/>
              </w:rPr>
              <w:t>Bech－Rafaelsen 躁狂量表</w:t>
            </w:r>
          </w:p>
        </w:tc>
        <w:tc>
          <w:tcPr>
            <w:tcW w:w="441" w:type="dxa"/>
            <w:tcBorders>
              <w:top w:val="nil"/>
              <w:left w:val="nil"/>
              <w:bottom w:val="single" w:color="auto" w:sz="4" w:space="0"/>
              <w:right w:val="single" w:color="auto" w:sz="4" w:space="0"/>
            </w:tcBorders>
            <w:shd w:val="clear" w:color="auto" w:fill="auto"/>
            <w:noWrap/>
            <w:vAlign w:val="center"/>
          </w:tcPr>
          <w:p w14:paraId="0E05F67C">
            <w:pPr>
              <w:widowControl/>
              <w:spacing w:line="240" w:lineRule="exact"/>
              <w:jc w:val="center"/>
              <w:rPr>
                <w:color w:val="000000"/>
                <w:sz w:val="15"/>
                <w:szCs w:val="15"/>
              </w:rPr>
            </w:pPr>
            <w:r>
              <w:rPr>
                <w:rFonts w:hint="eastAsia"/>
                <w:color w:val="000000"/>
                <w:sz w:val="15"/>
                <w:szCs w:val="15"/>
              </w:rPr>
              <w:t>89</w:t>
            </w:r>
          </w:p>
        </w:tc>
        <w:tc>
          <w:tcPr>
            <w:tcW w:w="2678" w:type="dxa"/>
            <w:tcBorders>
              <w:top w:val="nil"/>
              <w:left w:val="nil"/>
              <w:bottom w:val="single" w:color="auto" w:sz="4" w:space="0"/>
              <w:right w:val="single" w:color="auto" w:sz="4" w:space="0"/>
            </w:tcBorders>
            <w:shd w:val="clear" w:color="auto" w:fill="auto"/>
            <w:noWrap/>
            <w:vAlign w:val="center"/>
          </w:tcPr>
          <w:p w14:paraId="431A63A0">
            <w:pPr>
              <w:widowControl/>
              <w:spacing w:line="240" w:lineRule="exact"/>
              <w:jc w:val="center"/>
              <w:rPr>
                <w:color w:val="000000"/>
                <w:sz w:val="15"/>
                <w:szCs w:val="15"/>
              </w:rPr>
            </w:pPr>
            <w:r>
              <w:rPr>
                <w:rFonts w:hint="eastAsia"/>
                <w:color w:val="000000"/>
                <w:sz w:val="15"/>
                <w:szCs w:val="15"/>
              </w:rPr>
              <w:t>人际信任量表</w:t>
            </w:r>
          </w:p>
        </w:tc>
        <w:tc>
          <w:tcPr>
            <w:tcW w:w="567" w:type="dxa"/>
            <w:tcBorders>
              <w:top w:val="nil"/>
              <w:left w:val="nil"/>
              <w:bottom w:val="single" w:color="auto" w:sz="4" w:space="0"/>
              <w:right w:val="single" w:color="auto" w:sz="4" w:space="0"/>
            </w:tcBorders>
            <w:shd w:val="clear" w:color="auto" w:fill="auto"/>
            <w:noWrap/>
            <w:vAlign w:val="center"/>
          </w:tcPr>
          <w:p w14:paraId="15864FC3">
            <w:pPr>
              <w:widowControl/>
              <w:spacing w:line="240" w:lineRule="exact"/>
              <w:jc w:val="center"/>
              <w:rPr>
                <w:color w:val="000000"/>
                <w:sz w:val="15"/>
                <w:szCs w:val="15"/>
              </w:rPr>
            </w:pPr>
            <w:r>
              <w:rPr>
                <w:rFonts w:hint="eastAsia"/>
                <w:color w:val="000000"/>
                <w:sz w:val="15"/>
                <w:szCs w:val="15"/>
              </w:rPr>
              <w:t>157</w:t>
            </w:r>
          </w:p>
        </w:tc>
        <w:tc>
          <w:tcPr>
            <w:tcW w:w="2551" w:type="dxa"/>
            <w:tcBorders>
              <w:top w:val="nil"/>
              <w:left w:val="nil"/>
              <w:bottom w:val="single" w:color="auto" w:sz="4" w:space="0"/>
              <w:right w:val="single" w:color="auto" w:sz="4" w:space="0"/>
            </w:tcBorders>
            <w:shd w:val="clear" w:color="auto" w:fill="auto"/>
            <w:noWrap/>
            <w:vAlign w:val="center"/>
          </w:tcPr>
          <w:p w14:paraId="1EA92A99">
            <w:pPr>
              <w:widowControl/>
              <w:spacing w:line="240" w:lineRule="exact"/>
              <w:jc w:val="center"/>
              <w:rPr>
                <w:color w:val="000000"/>
                <w:sz w:val="15"/>
                <w:szCs w:val="15"/>
              </w:rPr>
            </w:pPr>
            <w:r>
              <w:rPr>
                <w:rFonts w:hint="eastAsia"/>
                <w:color w:val="000000"/>
                <w:sz w:val="15"/>
                <w:szCs w:val="15"/>
              </w:rPr>
              <w:t>抗抑郁药副反应量表</w:t>
            </w:r>
          </w:p>
        </w:tc>
      </w:tr>
      <w:tr w14:paraId="41356CD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1DE0004">
            <w:pPr>
              <w:widowControl/>
              <w:spacing w:line="240" w:lineRule="exact"/>
              <w:jc w:val="center"/>
              <w:rPr>
                <w:color w:val="000000"/>
                <w:sz w:val="15"/>
                <w:szCs w:val="15"/>
              </w:rPr>
            </w:pPr>
            <w:r>
              <w:rPr>
                <w:rFonts w:hint="eastAsia"/>
                <w:color w:val="000000"/>
                <w:sz w:val="15"/>
                <w:szCs w:val="15"/>
              </w:rPr>
              <w:t>22</w:t>
            </w:r>
          </w:p>
        </w:tc>
        <w:tc>
          <w:tcPr>
            <w:tcW w:w="2409" w:type="dxa"/>
            <w:tcBorders>
              <w:top w:val="nil"/>
              <w:left w:val="nil"/>
              <w:bottom w:val="single" w:color="auto" w:sz="4" w:space="0"/>
              <w:right w:val="single" w:color="auto" w:sz="4" w:space="0"/>
            </w:tcBorders>
            <w:shd w:val="clear" w:color="auto" w:fill="auto"/>
            <w:noWrap/>
            <w:vAlign w:val="center"/>
          </w:tcPr>
          <w:p w14:paraId="5C59C06A">
            <w:pPr>
              <w:widowControl/>
              <w:spacing w:line="240" w:lineRule="exact"/>
              <w:jc w:val="center"/>
              <w:rPr>
                <w:color w:val="000000"/>
                <w:sz w:val="15"/>
                <w:szCs w:val="15"/>
                <w:lang w:eastAsia="zh-CN"/>
              </w:rPr>
            </w:pPr>
            <w:r>
              <w:rPr>
                <w:rFonts w:hint="eastAsia"/>
                <w:color w:val="000000"/>
                <w:sz w:val="15"/>
                <w:szCs w:val="15"/>
                <w:lang w:eastAsia="zh-CN"/>
              </w:rPr>
              <w:t>克兰赛孤独症行为量表</w:t>
            </w:r>
          </w:p>
        </w:tc>
        <w:tc>
          <w:tcPr>
            <w:tcW w:w="441" w:type="dxa"/>
            <w:tcBorders>
              <w:top w:val="nil"/>
              <w:left w:val="nil"/>
              <w:bottom w:val="single" w:color="auto" w:sz="4" w:space="0"/>
              <w:right w:val="single" w:color="auto" w:sz="4" w:space="0"/>
            </w:tcBorders>
            <w:shd w:val="clear" w:color="auto" w:fill="auto"/>
            <w:noWrap/>
            <w:vAlign w:val="center"/>
          </w:tcPr>
          <w:p w14:paraId="07B07698">
            <w:pPr>
              <w:widowControl/>
              <w:spacing w:line="240" w:lineRule="exact"/>
              <w:jc w:val="center"/>
              <w:rPr>
                <w:color w:val="000000"/>
                <w:sz w:val="15"/>
                <w:szCs w:val="15"/>
              </w:rPr>
            </w:pPr>
            <w:r>
              <w:rPr>
                <w:rFonts w:hint="eastAsia"/>
                <w:color w:val="000000"/>
                <w:sz w:val="15"/>
                <w:szCs w:val="15"/>
              </w:rPr>
              <w:t>90</w:t>
            </w:r>
          </w:p>
        </w:tc>
        <w:tc>
          <w:tcPr>
            <w:tcW w:w="2678" w:type="dxa"/>
            <w:tcBorders>
              <w:top w:val="nil"/>
              <w:left w:val="nil"/>
              <w:bottom w:val="single" w:color="auto" w:sz="4" w:space="0"/>
              <w:right w:val="single" w:color="auto" w:sz="4" w:space="0"/>
            </w:tcBorders>
            <w:shd w:val="clear" w:color="auto" w:fill="auto"/>
            <w:noWrap/>
            <w:vAlign w:val="center"/>
          </w:tcPr>
          <w:p w14:paraId="3AE5591B">
            <w:pPr>
              <w:widowControl/>
              <w:spacing w:line="240" w:lineRule="exact"/>
              <w:jc w:val="center"/>
              <w:rPr>
                <w:color w:val="000000"/>
                <w:sz w:val="15"/>
                <w:szCs w:val="15"/>
              </w:rPr>
            </w:pPr>
            <w:r>
              <w:rPr>
                <w:rFonts w:hint="eastAsia"/>
                <w:color w:val="000000"/>
                <w:sz w:val="15"/>
                <w:szCs w:val="15"/>
              </w:rPr>
              <w:t>Krawiecka 症状量表</w:t>
            </w:r>
          </w:p>
        </w:tc>
        <w:tc>
          <w:tcPr>
            <w:tcW w:w="567" w:type="dxa"/>
            <w:tcBorders>
              <w:top w:val="nil"/>
              <w:left w:val="nil"/>
              <w:bottom w:val="single" w:color="auto" w:sz="4" w:space="0"/>
              <w:right w:val="single" w:color="auto" w:sz="4" w:space="0"/>
            </w:tcBorders>
            <w:shd w:val="clear" w:color="auto" w:fill="auto"/>
            <w:noWrap/>
            <w:vAlign w:val="center"/>
          </w:tcPr>
          <w:p w14:paraId="66E9CD58">
            <w:pPr>
              <w:widowControl/>
              <w:spacing w:line="240" w:lineRule="exact"/>
              <w:jc w:val="center"/>
              <w:rPr>
                <w:color w:val="000000"/>
                <w:sz w:val="15"/>
                <w:szCs w:val="15"/>
              </w:rPr>
            </w:pPr>
            <w:r>
              <w:rPr>
                <w:rFonts w:hint="eastAsia"/>
                <w:color w:val="000000"/>
                <w:sz w:val="15"/>
                <w:szCs w:val="15"/>
              </w:rPr>
              <w:t>158</w:t>
            </w:r>
          </w:p>
        </w:tc>
        <w:tc>
          <w:tcPr>
            <w:tcW w:w="2551" w:type="dxa"/>
            <w:tcBorders>
              <w:top w:val="nil"/>
              <w:left w:val="nil"/>
              <w:bottom w:val="single" w:color="auto" w:sz="4" w:space="0"/>
              <w:right w:val="single" w:color="auto" w:sz="4" w:space="0"/>
            </w:tcBorders>
            <w:shd w:val="clear" w:color="auto" w:fill="auto"/>
            <w:noWrap/>
            <w:vAlign w:val="center"/>
          </w:tcPr>
          <w:p w14:paraId="56C699AA">
            <w:pPr>
              <w:widowControl/>
              <w:spacing w:line="240" w:lineRule="exact"/>
              <w:jc w:val="center"/>
              <w:rPr>
                <w:color w:val="000000"/>
                <w:sz w:val="15"/>
                <w:szCs w:val="15"/>
              </w:rPr>
            </w:pPr>
            <w:r>
              <w:rPr>
                <w:rFonts w:hint="eastAsia"/>
                <w:color w:val="000000"/>
                <w:sz w:val="15"/>
                <w:szCs w:val="15"/>
              </w:rPr>
              <w:t>自尊量表</w:t>
            </w:r>
          </w:p>
        </w:tc>
      </w:tr>
      <w:tr w14:paraId="73EE4B1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FB8D855">
            <w:pPr>
              <w:widowControl/>
              <w:spacing w:line="240" w:lineRule="exact"/>
              <w:jc w:val="center"/>
              <w:rPr>
                <w:color w:val="000000"/>
                <w:sz w:val="15"/>
                <w:szCs w:val="15"/>
              </w:rPr>
            </w:pPr>
            <w:r>
              <w:rPr>
                <w:rFonts w:hint="eastAsia"/>
                <w:color w:val="000000"/>
                <w:sz w:val="15"/>
                <w:szCs w:val="15"/>
              </w:rPr>
              <w:t>23</w:t>
            </w:r>
          </w:p>
        </w:tc>
        <w:tc>
          <w:tcPr>
            <w:tcW w:w="2409" w:type="dxa"/>
            <w:tcBorders>
              <w:top w:val="nil"/>
              <w:left w:val="nil"/>
              <w:bottom w:val="single" w:color="auto" w:sz="4" w:space="0"/>
              <w:right w:val="single" w:color="auto" w:sz="4" w:space="0"/>
            </w:tcBorders>
            <w:shd w:val="clear" w:color="auto" w:fill="auto"/>
            <w:noWrap/>
            <w:vAlign w:val="center"/>
          </w:tcPr>
          <w:p w14:paraId="04245D58">
            <w:pPr>
              <w:widowControl/>
              <w:spacing w:line="240" w:lineRule="exact"/>
              <w:jc w:val="center"/>
              <w:rPr>
                <w:color w:val="000000"/>
                <w:sz w:val="15"/>
                <w:szCs w:val="15"/>
              </w:rPr>
            </w:pPr>
            <w:r>
              <w:rPr>
                <w:rFonts w:hint="eastAsia"/>
                <w:color w:val="000000"/>
                <w:sz w:val="15"/>
                <w:szCs w:val="15"/>
              </w:rPr>
              <w:t>儿童孤独症评定量表</w:t>
            </w:r>
          </w:p>
        </w:tc>
        <w:tc>
          <w:tcPr>
            <w:tcW w:w="441" w:type="dxa"/>
            <w:tcBorders>
              <w:top w:val="nil"/>
              <w:left w:val="nil"/>
              <w:bottom w:val="single" w:color="auto" w:sz="4" w:space="0"/>
              <w:right w:val="single" w:color="auto" w:sz="4" w:space="0"/>
            </w:tcBorders>
            <w:shd w:val="clear" w:color="auto" w:fill="auto"/>
            <w:noWrap/>
            <w:vAlign w:val="center"/>
          </w:tcPr>
          <w:p w14:paraId="23E0F8E0">
            <w:pPr>
              <w:widowControl/>
              <w:spacing w:line="240" w:lineRule="exact"/>
              <w:jc w:val="center"/>
              <w:rPr>
                <w:color w:val="000000"/>
                <w:sz w:val="15"/>
                <w:szCs w:val="15"/>
              </w:rPr>
            </w:pPr>
            <w:r>
              <w:rPr>
                <w:rFonts w:hint="eastAsia"/>
                <w:color w:val="000000"/>
                <w:sz w:val="15"/>
                <w:szCs w:val="15"/>
              </w:rPr>
              <w:t>91</w:t>
            </w:r>
          </w:p>
        </w:tc>
        <w:tc>
          <w:tcPr>
            <w:tcW w:w="2678" w:type="dxa"/>
            <w:tcBorders>
              <w:top w:val="nil"/>
              <w:left w:val="nil"/>
              <w:bottom w:val="single" w:color="auto" w:sz="4" w:space="0"/>
              <w:right w:val="single" w:color="auto" w:sz="4" w:space="0"/>
            </w:tcBorders>
            <w:shd w:val="clear" w:color="auto" w:fill="auto"/>
            <w:noWrap/>
            <w:vAlign w:val="center"/>
          </w:tcPr>
          <w:p w14:paraId="1AFDF04C">
            <w:pPr>
              <w:widowControl/>
              <w:spacing w:line="240" w:lineRule="exact"/>
              <w:jc w:val="center"/>
              <w:rPr>
                <w:color w:val="000000"/>
                <w:sz w:val="15"/>
                <w:szCs w:val="15"/>
              </w:rPr>
            </w:pPr>
            <w:r>
              <w:rPr>
                <w:rFonts w:hint="eastAsia"/>
                <w:color w:val="000000"/>
                <w:sz w:val="15"/>
                <w:szCs w:val="15"/>
              </w:rPr>
              <w:t>生活事件评定量表</w:t>
            </w:r>
          </w:p>
        </w:tc>
        <w:tc>
          <w:tcPr>
            <w:tcW w:w="567" w:type="dxa"/>
            <w:tcBorders>
              <w:top w:val="nil"/>
              <w:left w:val="nil"/>
              <w:bottom w:val="single" w:color="auto" w:sz="4" w:space="0"/>
              <w:right w:val="single" w:color="auto" w:sz="4" w:space="0"/>
            </w:tcBorders>
            <w:shd w:val="clear" w:color="auto" w:fill="auto"/>
            <w:noWrap/>
            <w:vAlign w:val="center"/>
          </w:tcPr>
          <w:p w14:paraId="0A4EB399">
            <w:pPr>
              <w:widowControl/>
              <w:spacing w:line="240" w:lineRule="exact"/>
              <w:jc w:val="center"/>
              <w:rPr>
                <w:color w:val="000000"/>
                <w:sz w:val="15"/>
                <w:szCs w:val="15"/>
              </w:rPr>
            </w:pPr>
            <w:r>
              <w:rPr>
                <w:rFonts w:hint="eastAsia"/>
                <w:color w:val="000000"/>
                <w:sz w:val="15"/>
                <w:szCs w:val="15"/>
              </w:rPr>
              <w:t>159</w:t>
            </w:r>
          </w:p>
        </w:tc>
        <w:tc>
          <w:tcPr>
            <w:tcW w:w="2551" w:type="dxa"/>
            <w:tcBorders>
              <w:top w:val="nil"/>
              <w:left w:val="nil"/>
              <w:bottom w:val="single" w:color="auto" w:sz="4" w:space="0"/>
              <w:right w:val="single" w:color="auto" w:sz="4" w:space="0"/>
            </w:tcBorders>
            <w:shd w:val="clear" w:color="auto" w:fill="auto"/>
            <w:noWrap/>
            <w:vAlign w:val="center"/>
          </w:tcPr>
          <w:p w14:paraId="6B047786">
            <w:pPr>
              <w:widowControl/>
              <w:spacing w:line="240" w:lineRule="exact"/>
              <w:jc w:val="center"/>
              <w:rPr>
                <w:color w:val="000000"/>
                <w:sz w:val="15"/>
                <w:szCs w:val="15"/>
              </w:rPr>
            </w:pPr>
            <w:r>
              <w:rPr>
                <w:rFonts w:hint="eastAsia"/>
                <w:color w:val="000000"/>
                <w:sz w:val="15"/>
                <w:szCs w:val="15"/>
              </w:rPr>
              <w:t>健康调查简表</w:t>
            </w:r>
          </w:p>
        </w:tc>
      </w:tr>
      <w:tr w14:paraId="7A7D2CE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2681EDC">
            <w:pPr>
              <w:widowControl/>
              <w:spacing w:line="240" w:lineRule="exact"/>
              <w:jc w:val="center"/>
              <w:rPr>
                <w:color w:val="000000"/>
                <w:sz w:val="15"/>
                <w:szCs w:val="15"/>
              </w:rPr>
            </w:pPr>
            <w:r>
              <w:rPr>
                <w:rFonts w:hint="eastAsia"/>
                <w:color w:val="000000"/>
                <w:sz w:val="15"/>
                <w:szCs w:val="15"/>
              </w:rPr>
              <w:t>24</w:t>
            </w:r>
          </w:p>
        </w:tc>
        <w:tc>
          <w:tcPr>
            <w:tcW w:w="2409" w:type="dxa"/>
            <w:tcBorders>
              <w:top w:val="nil"/>
              <w:left w:val="nil"/>
              <w:bottom w:val="single" w:color="auto" w:sz="4" w:space="0"/>
              <w:right w:val="single" w:color="auto" w:sz="4" w:space="0"/>
            </w:tcBorders>
            <w:shd w:val="clear" w:color="auto" w:fill="auto"/>
            <w:noWrap/>
            <w:vAlign w:val="center"/>
          </w:tcPr>
          <w:p w14:paraId="1DBA2A41">
            <w:pPr>
              <w:widowControl/>
              <w:spacing w:line="240" w:lineRule="exact"/>
              <w:jc w:val="center"/>
              <w:rPr>
                <w:color w:val="000000"/>
                <w:sz w:val="15"/>
                <w:szCs w:val="15"/>
              </w:rPr>
            </w:pPr>
            <w:r>
              <w:rPr>
                <w:rFonts w:hint="eastAsia"/>
                <w:color w:val="000000"/>
                <w:sz w:val="15"/>
                <w:szCs w:val="15"/>
              </w:rPr>
              <w:t>C 型行为量表</w:t>
            </w:r>
          </w:p>
        </w:tc>
        <w:tc>
          <w:tcPr>
            <w:tcW w:w="441" w:type="dxa"/>
            <w:tcBorders>
              <w:top w:val="nil"/>
              <w:left w:val="nil"/>
              <w:bottom w:val="single" w:color="auto" w:sz="4" w:space="0"/>
              <w:right w:val="single" w:color="auto" w:sz="4" w:space="0"/>
            </w:tcBorders>
            <w:shd w:val="clear" w:color="auto" w:fill="auto"/>
            <w:noWrap/>
            <w:vAlign w:val="center"/>
          </w:tcPr>
          <w:p w14:paraId="2A0FD9E5">
            <w:pPr>
              <w:widowControl/>
              <w:spacing w:line="240" w:lineRule="exact"/>
              <w:jc w:val="center"/>
              <w:rPr>
                <w:color w:val="000000"/>
                <w:sz w:val="15"/>
                <w:szCs w:val="15"/>
              </w:rPr>
            </w:pPr>
            <w:r>
              <w:rPr>
                <w:rFonts w:hint="eastAsia"/>
                <w:color w:val="000000"/>
                <w:sz w:val="15"/>
                <w:szCs w:val="15"/>
              </w:rPr>
              <w:t>92</w:t>
            </w:r>
          </w:p>
        </w:tc>
        <w:tc>
          <w:tcPr>
            <w:tcW w:w="2678" w:type="dxa"/>
            <w:tcBorders>
              <w:top w:val="nil"/>
              <w:left w:val="nil"/>
              <w:bottom w:val="single" w:color="auto" w:sz="4" w:space="0"/>
              <w:right w:val="single" w:color="auto" w:sz="4" w:space="0"/>
            </w:tcBorders>
            <w:shd w:val="clear" w:color="auto" w:fill="auto"/>
            <w:noWrap/>
            <w:vAlign w:val="center"/>
          </w:tcPr>
          <w:p w14:paraId="794F8250">
            <w:pPr>
              <w:widowControl/>
              <w:spacing w:line="240" w:lineRule="exact"/>
              <w:jc w:val="center"/>
              <w:rPr>
                <w:color w:val="000000"/>
                <w:sz w:val="15"/>
                <w:szCs w:val="15"/>
                <w:lang w:eastAsia="zh-CN"/>
              </w:rPr>
            </w:pPr>
            <w:r>
              <w:rPr>
                <w:rFonts w:hint="eastAsia"/>
                <w:color w:val="000000"/>
                <w:sz w:val="15"/>
                <w:szCs w:val="15"/>
                <w:lang w:eastAsia="zh-CN"/>
              </w:rPr>
              <w:t>紧张性生活事件评定量表</w:t>
            </w:r>
          </w:p>
        </w:tc>
        <w:tc>
          <w:tcPr>
            <w:tcW w:w="567" w:type="dxa"/>
            <w:tcBorders>
              <w:top w:val="nil"/>
              <w:left w:val="nil"/>
              <w:bottom w:val="single" w:color="auto" w:sz="4" w:space="0"/>
              <w:right w:val="single" w:color="auto" w:sz="4" w:space="0"/>
            </w:tcBorders>
            <w:shd w:val="clear" w:color="auto" w:fill="auto"/>
            <w:noWrap/>
            <w:vAlign w:val="center"/>
          </w:tcPr>
          <w:p w14:paraId="27FCBFAE">
            <w:pPr>
              <w:widowControl/>
              <w:spacing w:line="240" w:lineRule="exact"/>
              <w:jc w:val="center"/>
              <w:rPr>
                <w:color w:val="000000"/>
                <w:sz w:val="15"/>
                <w:szCs w:val="15"/>
              </w:rPr>
            </w:pPr>
            <w:r>
              <w:rPr>
                <w:rFonts w:hint="eastAsia"/>
                <w:color w:val="000000"/>
                <w:sz w:val="15"/>
                <w:szCs w:val="15"/>
              </w:rPr>
              <w:t>160</w:t>
            </w:r>
          </w:p>
        </w:tc>
        <w:tc>
          <w:tcPr>
            <w:tcW w:w="2551" w:type="dxa"/>
            <w:tcBorders>
              <w:top w:val="nil"/>
              <w:left w:val="nil"/>
              <w:bottom w:val="single" w:color="auto" w:sz="4" w:space="0"/>
              <w:right w:val="single" w:color="auto" w:sz="4" w:space="0"/>
            </w:tcBorders>
            <w:shd w:val="clear" w:color="auto" w:fill="auto"/>
            <w:noWrap/>
            <w:vAlign w:val="center"/>
          </w:tcPr>
          <w:p w14:paraId="75FBBAF3">
            <w:pPr>
              <w:widowControl/>
              <w:spacing w:line="240" w:lineRule="exact"/>
              <w:jc w:val="center"/>
              <w:rPr>
                <w:color w:val="000000"/>
                <w:sz w:val="15"/>
                <w:szCs w:val="15"/>
                <w:lang w:eastAsia="zh-CN"/>
              </w:rPr>
            </w:pPr>
            <w:r>
              <w:rPr>
                <w:rFonts w:hint="eastAsia"/>
                <w:color w:val="000000"/>
                <w:sz w:val="15"/>
                <w:szCs w:val="15"/>
                <w:lang w:eastAsia="zh-CN"/>
              </w:rPr>
              <w:t>简化 McGill 疼痛问卷</w:t>
            </w:r>
          </w:p>
        </w:tc>
      </w:tr>
      <w:tr w14:paraId="0F52DAFA">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EB8ACDB">
            <w:pPr>
              <w:widowControl/>
              <w:spacing w:line="240" w:lineRule="exact"/>
              <w:jc w:val="center"/>
              <w:rPr>
                <w:color w:val="000000"/>
                <w:sz w:val="15"/>
                <w:szCs w:val="15"/>
              </w:rPr>
            </w:pPr>
            <w:r>
              <w:rPr>
                <w:rFonts w:hint="eastAsia"/>
                <w:color w:val="000000"/>
                <w:sz w:val="15"/>
                <w:szCs w:val="15"/>
              </w:rPr>
              <w:t>25</w:t>
            </w:r>
          </w:p>
        </w:tc>
        <w:tc>
          <w:tcPr>
            <w:tcW w:w="2409" w:type="dxa"/>
            <w:tcBorders>
              <w:top w:val="nil"/>
              <w:left w:val="nil"/>
              <w:bottom w:val="single" w:color="auto" w:sz="4" w:space="0"/>
              <w:right w:val="single" w:color="auto" w:sz="4" w:space="0"/>
            </w:tcBorders>
            <w:shd w:val="clear" w:color="auto" w:fill="auto"/>
            <w:noWrap/>
            <w:vAlign w:val="center"/>
          </w:tcPr>
          <w:p w14:paraId="5C67CEBF">
            <w:pPr>
              <w:widowControl/>
              <w:spacing w:line="240" w:lineRule="exact"/>
              <w:jc w:val="center"/>
              <w:rPr>
                <w:color w:val="000000"/>
                <w:sz w:val="15"/>
                <w:szCs w:val="15"/>
              </w:rPr>
            </w:pPr>
            <w:r>
              <w:rPr>
                <w:rFonts w:hint="eastAsia"/>
                <w:color w:val="000000"/>
                <w:sz w:val="15"/>
                <w:szCs w:val="15"/>
              </w:rPr>
              <w:t>Achenbach 儿童行为量表</w:t>
            </w:r>
          </w:p>
        </w:tc>
        <w:tc>
          <w:tcPr>
            <w:tcW w:w="441" w:type="dxa"/>
            <w:tcBorders>
              <w:top w:val="nil"/>
              <w:left w:val="nil"/>
              <w:bottom w:val="single" w:color="auto" w:sz="4" w:space="0"/>
              <w:right w:val="single" w:color="auto" w:sz="4" w:space="0"/>
            </w:tcBorders>
            <w:shd w:val="clear" w:color="auto" w:fill="auto"/>
            <w:noWrap/>
            <w:vAlign w:val="center"/>
          </w:tcPr>
          <w:p w14:paraId="5F5C7371">
            <w:pPr>
              <w:widowControl/>
              <w:spacing w:line="240" w:lineRule="exact"/>
              <w:jc w:val="center"/>
              <w:rPr>
                <w:color w:val="000000"/>
                <w:sz w:val="15"/>
                <w:szCs w:val="15"/>
              </w:rPr>
            </w:pPr>
            <w:r>
              <w:rPr>
                <w:rFonts w:hint="eastAsia"/>
                <w:color w:val="000000"/>
                <w:sz w:val="15"/>
                <w:szCs w:val="15"/>
              </w:rPr>
              <w:t>93</w:t>
            </w:r>
          </w:p>
        </w:tc>
        <w:tc>
          <w:tcPr>
            <w:tcW w:w="2678" w:type="dxa"/>
            <w:tcBorders>
              <w:top w:val="nil"/>
              <w:left w:val="nil"/>
              <w:bottom w:val="single" w:color="auto" w:sz="4" w:space="0"/>
              <w:right w:val="single" w:color="auto" w:sz="4" w:space="0"/>
            </w:tcBorders>
            <w:shd w:val="clear" w:color="auto" w:fill="auto"/>
            <w:noWrap/>
            <w:vAlign w:val="center"/>
          </w:tcPr>
          <w:p w14:paraId="2C41B380">
            <w:pPr>
              <w:widowControl/>
              <w:spacing w:line="240" w:lineRule="exact"/>
              <w:jc w:val="center"/>
              <w:rPr>
                <w:color w:val="000000"/>
                <w:sz w:val="15"/>
                <w:szCs w:val="15"/>
              </w:rPr>
            </w:pPr>
            <w:r>
              <w:rPr>
                <w:rFonts w:hint="eastAsia"/>
                <w:color w:val="000000"/>
                <w:sz w:val="15"/>
                <w:szCs w:val="15"/>
              </w:rPr>
              <w:t>生活满意度评定量表</w:t>
            </w:r>
          </w:p>
        </w:tc>
        <w:tc>
          <w:tcPr>
            <w:tcW w:w="567" w:type="dxa"/>
            <w:tcBorders>
              <w:top w:val="nil"/>
              <w:left w:val="nil"/>
              <w:bottom w:val="single" w:color="auto" w:sz="4" w:space="0"/>
              <w:right w:val="single" w:color="auto" w:sz="4" w:space="0"/>
            </w:tcBorders>
            <w:shd w:val="clear" w:color="auto" w:fill="auto"/>
            <w:noWrap/>
            <w:vAlign w:val="center"/>
          </w:tcPr>
          <w:p w14:paraId="0FB377B3">
            <w:pPr>
              <w:widowControl/>
              <w:spacing w:line="240" w:lineRule="exact"/>
              <w:jc w:val="center"/>
              <w:rPr>
                <w:color w:val="000000"/>
                <w:sz w:val="15"/>
                <w:szCs w:val="15"/>
              </w:rPr>
            </w:pPr>
            <w:r>
              <w:rPr>
                <w:rFonts w:hint="eastAsia"/>
                <w:color w:val="000000"/>
                <w:sz w:val="15"/>
                <w:szCs w:val="15"/>
              </w:rPr>
              <w:t>161</w:t>
            </w:r>
          </w:p>
        </w:tc>
        <w:tc>
          <w:tcPr>
            <w:tcW w:w="2551" w:type="dxa"/>
            <w:tcBorders>
              <w:top w:val="nil"/>
              <w:left w:val="nil"/>
              <w:bottom w:val="single" w:color="auto" w:sz="4" w:space="0"/>
              <w:right w:val="single" w:color="auto" w:sz="4" w:space="0"/>
            </w:tcBorders>
            <w:shd w:val="clear" w:color="auto" w:fill="auto"/>
            <w:noWrap/>
            <w:vAlign w:val="center"/>
          </w:tcPr>
          <w:p w14:paraId="2DE0E2DF">
            <w:pPr>
              <w:widowControl/>
              <w:spacing w:line="240" w:lineRule="exact"/>
              <w:jc w:val="center"/>
              <w:rPr>
                <w:color w:val="000000"/>
                <w:sz w:val="15"/>
                <w:szCs w:val="15"/>
              </w:rPr>
            </w:pPr>
            <w:r>
              <w:rPr>
                <w:rFonts w:hint="eastAsia"/>
                <w:color w:val="000000"/>
                <w:sz w:val="15"/>
                <w:szCs w:val="15"/>
              </w:rPr>
              <w:t>社会功能量表</w:t>
            </w:r>
          </w:p>
        </w:tc>
      </w:tr>
      <w:tr w14:paraId="34EE101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560C92F">
            <w:pPr>
              <w:widowControl/>
              <w:spacing w:line="240" w:lineRule="exact"/>
              <w:jc w:val="center"/>
              <w:rPr>
                <w:color w:val="000000"/>
                <w:sz w:val="15"/>
                <w:szCs w:val="15"/>
              </w:rPr>
            </w:pPr>
            <w:r>
              <w:rPr>
                <w:rFonts w:hint="eastAsia"/>
                <w:color w:val="000000"/>
                <w:sz w:val="15"/>
                <w:szCs w:val="15"/>
              </w:rPr>
              <w:t>26</w:t>
            </w:r>
          </w:p>
        </w:tc>
        <w:tc>
          <w:tcPr>
            <w:tcW w:w="2409" w:type="dxa"/>
            <w:tcBorders>
              <w:top w:val="nil"/>
              <w:left w:val="nil"/>
              <w:bottom w:val="single" w:color="auto" w:sz="4" w:space="0"/>
              <w:right w:val="single" w:color="auto" w:sz="4" w:space="0"/>
            </w:tcBorders>
            <w:shd w:val="clear" w:color="auto" w:fill="auto"/>
            <w:noWrap/>
            <w:vAlign w:val="center"/>
          </w:tcPr>
          <w:p w14:paraId="6A6F85FF">
            <w:pPr>
              <w:widowControl/>
              <w:spacing w:line="240" w:lineRule="exact"/>
              <w:jc w:val="center"/>
              <w:rPr>
                <w:color w:val="000000"/>
                <w:sz w:val="15"/>
                <w:szCs w:val="15"/>
              </w:rPr>
            </w:pPr>
            <w:r>
              <w:rPr>
                <w:rFonts w:hint="eastAsia"/>
                <w:color w:val="000000"/>
                <w:sz w:val="15"/>
                <w:szCs w:val="15"/>
              </w:rPr>
              <w:t>认知偏差问卷</w:t>
            </w:r>
          </w:p>
        </w:tc>
        <w:tc>
          <w:tcPr>
            <w:tcW w:w="441" w:type="dxa"/>
            <w:tcBorders>
              <w:top w:val="nil"/>
              <w:left w:val="nil"/>
              <w:bottom w:val="single" w:color="auto" w:sz="4" w:space="0"/>
              <w:right w:val="single" w:color="auto" w:sz="4" w:space="0"/>
            </w:tcBorders>
            <w:shd w:val="clear" w:color="auto" w:fill="auto"/>
            <w:noWrap/>
            <w:vAlign w:val="center"/>
          </w:tcPr>
          <w:p w14:paraId="4C149CEE">
            <w:pPr>
              <w:widowControl/>
              <w:spacing w:line="240" w:lineRule="exact"/>
              <w:jc w:val="center"/>
              <w:rPr>
                <w:color w:val="000000"/>
                <w:sz w:val="15"/>
                <w:szCs w:val="15"/>
              </w:rPr>
            </w:pPr>
            <w:r>
              <w:rPr>
                <w:rFonts w:hint="eastAsia"/>
                <w:color w:val="000000"/>
                <w:sz w:val="15"/>
                <w:szCs w:val="15"/>
              </w:rPr>
              <w:t>94</w:t>
            </w:r>
          </w:p>
        </w:tc>
        <w:tc>
          <w:tcPr>
            <w:tcW w:w="2678" w:type="dxa"/>
            <w:tcBorders>
              <w:top w:val="nil"/>
              <w:left w:val="nil"/>
              <w:bottom w:val="single" w:color="auto" w:sz="4" w:space="0"/>
              <w:right w:val="single" w:color="auto" w:sz="4" w:space="0"/>
            </w:tcBorders>
            <w:shd w:val="clear" w:color="auto" w:fill="auto"/>
            <w:noWrap/>
            <w:vAlign w:val="center"/>
          </w:tcPr>
          <w:p w14:paraId="5E05CF3A">
            <w:pPr>
              <w:widowControl/>
              <w:spacing w:line="240" w:lineRule="exact"/>
              <w:jc w:val="center"/>
              <w:rPr>
                <w:color w:val="000000"/>
                <w:sz w:val="15"/>
                <w:szCs w:val="15"/>
              </w:rPr>
            </w:pPr>
            <w:r>
              <w:rPr>
                <w:rFonts w:hint="eastAsia"/>
                <w:color w:val="000000"/>
                <w:sz w:val="15"/>
                <w:szCs w:val="15"/>
              </w:rPr>
              <w:t>Locke-Wollance 婚姻调适测定</w:t>
            </w:r>
          </w:p>
        </w:tc>
        <w:tc>
          <w:tcPr>
            <w:tcW w:w="567" w:type="dxa"/>
            <w:tcBorders>
              <w:top w:val="nil"/>
              <w:left w:val="nil"/>
              <w:bottom w:val="single" w:color="auto" w:sz="4" w:space="0"/>
              <w:right w:val="single" w:color="auto" w:sz="4" w:space="0"/>
            </w:tcBorders>
            <w:shd w:val="clear" w:color="auto" w:fill="auto"/>
            <w:noWrap/>
            <w:vAlign w:val="center"/>
          </w:tcPr>
          <w:p w14:paraId="43BA0EBD">
            <w:pPr>
              <w:widowControl/>
              <w:spacing w:line="240" w:lineRule="exact"/>
              <w:jc w:val="center"/>
              <w:rPr>
                <w:color w:val="000000"/>
                <w:sz w:val="15"/>
                <w:szCs w:val="15"/>
              </w:rPr>
            </w:pPr>
            <w:r>
              <w:rPr>
                <w:rFonts w:hint="eastAsia"/>
                <w:color w:val="000000"/>
                <w:sz w:val="15"/>
                <w:szCs w:val="15"/>
              </w:rPr>
              <w:t>162</w:t>
            </w:r>
          </w:p>
        </w:tc>
        <w:tc>
          <w:tcPr>
            <w:tcW w:w="2551" w:type="dxa"/>
            <w:tcBorders>
              <w:top w:val="nil"/>
              <w:left w:val="nil"/>
              <w:bottom w:val="single" w:color="auto" w:sz="4" w:space="0"/>
              <w:right w:val="single" w:color="auto" w:sz="4" w:space="0"/>
            </w:tcBorders>
            <w:shd w:val="clear" w:color="auto" w:fill="auto"/>
            <w:noWrap/>
            <w:vAlign w:val="center"/>
          </w:tcPr>
          <w:p w14:paraId="3EF66D13">
            <w:pPr>
              <w:widowControl/>
              <w:spacing w:line="240" w:lineRule="exact"/>
              <w:jc w:val="center"/>
              <w:rPr>
                <w:color w:val="000000"/>
                <w:sz w:val="15"/>
                <w:szCs w:val="15"/>
                <w:lang w:eastAsia="zh-CN"/>
              </w:rPr>
            </w:pPr>
            <w:r>
              <w:rPr>
                <w:rFonts w:hint="eastAsia"/>
                <w:color w:val="000000"/>
                <w:sz w:val="15"/>
                <w:szCs w:val="15"/>
                <w:lang w:eastAsia="zh-CN"/>
              </w:rPr>
              <w:t>婴儿-初中生社会生活能力量表</w:t>
            </w:r>
          </w:p>
        </w:tc>
      </w:tr>
      <w:tr w14:paraId="58F4B28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82F2151">
            <w:pPr>
              <w:widowControl/>
              <w:spacing w:line="240" w:lineRule="exact"/>
              <w:jc w:val="center"/>
              <w:rPr>
                <w:color w:val="000000"/>
                <w:sz w:val="15"/>
                <w:szCs w:val="15"/>
              </w:rPr>
            </w:pPr>
            <w:r>
              <w:rPr>
                <w:rFonts w:hint="eastAsia"/>
                <w:color w:val="000000"/>
                <w:sz w:val="15"/>
                <w:szCs w:val="15"/>
              </w:rPr>
              <w:t>27</w:t>
            </w:r>
          </w:p>
        </w:tc>
        <w:tc>
          <w:tcPr>
            <w:tcW w:w="2409" w:type="dxa"/>
            <w:tcBorders>
              <w:top w:val="nil"/>
              <w:left w:val="nil"/>
              <w:bottom w:val="single" w:color="auto" w:sz="4" w:space="0"/>
              <w:right w:val="single" w:color="auto" w:sz="4" w:space="0"/>
            </w:tcBorders>
            <w:shd w:val="clear" w:color="auto" w:fill="auto"/>
            <w:noWrap/>
            <w:vAlign w:val="center"/>
          </w:tcPr>
          <w:p w14:paraId="309D03F5">
            <w:pPr>
              <w:widowControl/>
              <w:spacing w:line="240" w:lineRule="exact"/>
              <w:jc w:val="center"/>
              <w:rPr>
                <w:color w:val="000000"/>
                <w:sz w:val="15"/>
                <w:szCs w:val="15"/>
              </w:rPr>
            </w:pPr>
            <w:r>
              <w:rPr>
                <w:rFonts w:hint="eastAsia"/>
                <w:color w:val="000000"/>
                <w:sz w:val="15"/>
                <w:szCs w:val="15"/>
              </w:rPr>
              <w:t>Conners 儿童行为问卷-父母</w:t>
            </w:r>
          </w:p>
        </w:tc>
        <w:tc>
          <w:tcPr>
            <w:tcW w:w="441" w:type="dxa"/>
            <w:tcBorders>
              <w:top w:val="nil"/>
              <w:left w:val="nil"/>
              <w:bottom w:val="single" w:color="auto" w:sz="4" w:space="0"/>
              <w:right w:val="single" w:color="auto" w:sz="4" w:space="0"/>
            </w:tcBorders>
            <w:shd w:val="clear" w:color="auto" w:fill="auto"/>
            <w:noWrap/>
            <w:vAlign w:val="center"/>
          </w:tcPr>
          <w:p w14:paraId="609E6A05">
            <w:pPr>
              <w:widowControl/>
              <w:spacing w:line="240" w:lineRule="exact"/>
              <w:jc w:val="center"/>
              <w:rPr>
                <w:color w:val="000000"/>
                <w:sz w:val="15"/>
                <w:szCs w:val="15"/>
              </w:rPr>
            </w:pPr>
            <w:r>
              <w:rPr>
                <w:rFonts w:hint="eastAsia"/>
                <w:color w:val="000000"/>
                <w:sz w:val="15"/>
                <w:szCs w:val="15"/>
              </w:rPr>
              <w:t>95</w:t>
            </w:r>
          </w:p>
        </w:tc>
        <w:tc>
          <w:tcPr>
            <w:tcW w:w="2678" w:type="dxa"/>
            <w:tcBorders>
              <w:top w:val="nil"/>
              <w:left w:val="nil"/>
              <w:bottom w:val="single" w:color="auto" w:sz="4" w:space="0"/>
              <w:right w:val="single" w:color="auto" w:sz="4" w:space="0"/>
            </w:tcBorders>
            <w:shd w:val="clear" w:color="auto" w:fill="auto"/>
            <w:noWrap/>
            <w:vAlign w:val="center"/>
          </w:tcPr>
          <w:p w14:paraId="70E17F83">
            <w:pPr>
              <w:widowControl/>
              <w:spacing w:line="240" w:lineRule="exact"/>
              <w:jc w:val="center"/>
              <w:rPr>
                <w:color w:val="000000"/>
                <w:sz w:val="15"/>
                <w:szCs w:val="15"/>
              </w:rPr>
            </w:pPr>
            <w:r>
              <w:rPr>
                <w:rFonts w:hint="eastAsia"/>
                <w:color w:val="000000"/>
                <w:sz w:val="15"/>
                <w:szCs w:val="15"/>
              </w:rPr>
              <w:t>蒙哥马利抑郁量表</w:t>
            </w:r>
          </w:p>
        </w:tc>
        <w:tc>
          <w:tcPr>
            <w:tcW w:w="567" w:type="dxa"/>
            <w:tcBorders>
              <w:top w:val="nil"/>
              <w:left w:val="nil"/>
              <w:bottom w:val="single" w:color="auto" w:sz="4" w:space="0"/>
              <w:right w:val="single" w:color="auto" w:sz="4" w:space="0"/>
            </w:tcBorders>
            <w:shd w:val="clear" w:color="auto" w:fill="auto"/>
            <w:noWrap/>
            <w:vAlign w:val="center"/>
          </w:tcPr>
          <w:p w14:paraId="77E8AC97">
            <w:pPr>
              <w:widowControl/>
              <w:spacing w:line="240" w:lineRule="exact"/>
              <w:jc w:val="center"/>
              <w:rPr>
                <w:color w:val="000000"/>
                <w:sz w:val="15"/>
                <w:szCs w:val="15"/>
              </w:rPr>
            </w:pPr>
            <w:r>
              <w:rPr>
                <w:rFonts w:hint="eastAsia"/>
                <w:color w:val="000000"/>
                <w:sz w:val="15"/>
                <w:szCs w:val="15"/>
              </w:rPr>
              <w:t>163</w:t>
            </w:r>
          </w:p>
        </w:tc>
        <w:tc>
          <w:tcPr>
            <w:tcW w:w="2551" w:type="dxa"/>
            <w:tcBorders>
              <w:top w:val="nil"/>
              <w:left w:val="nil"/>
              <w:bottom w:val="single" w:color="auto" w:sz="4" w:space="0"/>
              <w:right w:val="single" w:color="auto" w:sz="4" w:space="0"/>
            </w:tcBorders>
            <w:shd w:val="clear" w:color="auto" w:fill="auto"/>
            <w:noWrap/>
            <w:vAlign w:val="center"/>
          </w:tcPr>
          <w:p w14:paraId="1F69676D">
            <w:pPr>
              <w:widowControl/>
              <w:spacing w:line="240" w:lineRule="exact"/>
              <w:jc w:val="center"/>
              <w:rPr>
                <w:color w:val="000000"/>
                <w:sz w:val="15"/>
                <w:szCs w:val="15"/>
              </w:rPr>
            </w:pPr>
            <w:r>
              <w:rPr>
                <w:rFonts w:hint="eastAsia"/>
                <w:color w:val="000000"/>
                <w:sz w:val="15"/>
                <w:szCs w:val="15"/>
              </w:rPr>
              <w:t>安全感量表</w:t>
            </w:r>
          </w:p>
        </w:tc>
      </w:tr>
      <w:tr w14:paraId="216F3D1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EBCB081">
            <w:pPr>
              <w:widowControl/>
              <w:spacing w:line="240" w:lineRule="exact"/>
              <w:jc w:val="center"/>
              <w:rPr>
                <w:color w:val="000000"/>
                <w:sz w:val="15"/>
                <w:szCs w:val="15"/>
              </w:rPr>
            </w:pPr>
            <w:r>
              <w:rPr>
                <w:rFonts w:hint="eastAsia"/>
                <w:color w:val="000000"/>
                <w:sz w:val="15"/>
                <w:szCs w:val="15"/>
              </w:rPr>
              <w:t>28</w:t>
            </w:r>
          </w:p>
        </w:tc>
        <w:tc>
          <w:tcPr>
            <w:tcW w:w="2409" w:type="dxa"/>
            <w:tcBorders>
              <w:top w:val="nil"/>
              <w:left w:val="nil"/>
              <w:bottom w:val="single" w:color="auto" w:sz="4" w:space="0"/>
              <w:right w:val="single" w:color="auto" w:sz="4" w:space="0"/>
            </w:tcBorders>
            <w:shd w:val="clear" w:color="auto" w:fill="auto"/>
            <w:noWrap/>
            <w:vAlign w:val="center"/>
          </w:tcPr>
          <w:p w14:paraId="77ACA35B">
            <w:pPr>
              <w:widowControl/>
              <w:spacing w:line="240" w:lineRule="exact"/>
              <w:jc w:val="center"/>
              <w:rPr>
                <w:color w:val="000000"/>
                <w:sz w:val="15"/>
                <w:szCs w:val="15"/>
              </w:rPr>
            </w:pPr>
            <w:r>
              <w:rPr>
                <w:rFonts w:hint="eastAsia"/>
                <w:color w:val="000000"/>
                <w:sz w:val="15"/>
                <w:szCs w:val="15"/>
              </w:rPr>
              <w:t>Conners 儿童行为问卷-教师</w:t>
            </w:r>
          </w:p>
        </w:tc>
        <w:tc>
          <w:tcPr>
            <w:tcW w:w="441" w:type="dxa"/>
            <w:tcBorders>
              <w:top w:val="nil"/>
              <w:left w:val="nil"/>
              <w:bottom w:val="single" w:color="auto" w:sz="4" w:space="0"/>
              <w:right w:val="single" w:color="auto" w:sz="4" w:space="0"/>
            </w:tcBorders>
            <w:shd w:val="clear" w:color="auto" w:fill="auto"/>
            <w:noWrap/>
            <w:vAlign w:val="center"/>
          </w:tcPr>
          <w:p w14:paraId="648E84D7">
            <w:pPr>
              <w:widowControl/>
              <w:spacing w:line="240" w:lineRule="exact"/>
              <w:jc w:val="center"/>
              <w:rPr>
                <w:color w:val="000000"/>
                <w:sz w:val="15"/>
                <w:szCs w:val="15"/>
              </w:rPr>
            </w:pPr>
            <w:r>
              <w:rPr>
                <w:rFonts w:hint="eastAsia"/>
                <w:color w:val="000000"/>
                <w:sz w:val="15"/>
                <w:szCs w:val="15"/>
              </w:rPr>
              <w:t>96</w:t>
            </w:r>
          </w:p>
        </w:tc>
        <w:tc>
          <w:tcPr>
            <w:tcW w:w="2678" w:type="dxa"/>
            <w:tcBorders>
              <w:top w:val="nil"/>
              <w:left w:val="nil"/>
              <w:bottom w:val="single" w:color="auto" w:sz="4" w:space="0"/>
              <w:right w:val="single" w:color="auto" w:sz="4" w:space="0"/>
            </w:tcBorders>
            <w:shd w:val="clear" w:color="auto" w:fill="auto"/>
            <w:noWrap/>
            <w:vAlign w:val="center"/>
          </w:tcPr>
          <w:p w14:paraId="7767163E">
            <w:pPr>
              <w:widowControl/>
              <w:spacing w:line="240" w:lineRule="exact"/>
              <w:jc w:val="center"/>
              <w:rPr>
                <w:color w:val="000000"/>
                <w:sz w:val="15"/>
                <w:szCs w:val="15"/>
                <w:lang w:eastAsia="zh-CN"/>
              </w:rPr>
            </w:pPr>
            <w:r>
              <w:rPr>
                <w:rFonts w:hint="eastAsia"/>
                <w:color w:val="000000"/>
                <w:sz w:val="15"/>
                <w:szCs w:val="15"/>
                <w:lang w:eastAsia="zh-CN"/>
              </w:rPr>
              <w:t>密西根酒精依赖调查表</w:t>
            </w:r>
          </w:p>
        </w:tc>
        <w:tc>
          <w:tcPr>
            <w:tcW w:w="567" w:type="dxa"/>
            <w:tcBorders>
              <w:top w:val="nil"/>
              <w:left w:val="nil"/>
              <w:bottom w:val="single" w:color="auto" w:sz="4" w:space="0"/>
              <w:right w:val="single" w:color="auto" w:sz="4" w:space="0"/>
            </w:tcBorders>
            <w:shd w:val="clear" w:color="auto" w:fill="auto"/>
            <w:noWrap/>
            <w:vAlign w:val="center"/>
          </w:tcPr>
          <w:p w14:paraId="33C9977E">
            <w:pPr>
              <w:widowControl/>
              <w:spacing w:line="240" w:lineRule="exact"/>
              <w:jc w:val="center"/>
              <w:rPr>
                <w:color w:val="000000"/>
                <w:sz w:val="15"/>
                <w:szCs w:val="15"/>
              </w:rPr>
            </w:pPr>
            <w:r>
              <w:rPr>
                <w:rFonts w:hint="eastAsia"/>
                <w:color w:val="000000"/>
                <w:sz w:val="15"/>
                <w:szCs w:val="15"/>
              </w:rPr>
              <w:t>164</w:t>
            </w:r>
          </w:p>
        </w:tc>
        <w:tc>
          <w:tcPr>
            <w:tcW w:w="2551" w:type="dxa"/>
            <w:tcBorders>
              <w:top w:val="nil"/>
              <w:left w:val="nil"/>
              <w:bottom w:val="single" w:color="auto" w:sz="4" w:space="0"/>
              <w:right w:val="single" w:color="auto" w:sz="4" w:space="0"/>
            </w:tcBorders>
            <w:shd w:val="clear" w:color="auto" w:fill="auto"/>
            <w:noWrap/>
            <w:vAlign w:val="center"/>
          </w:tcPr>
          <w:p w14:paraId="798227D8">
            <w:pPr>
              <w:widowControl/>
              <w:spacing w:line="240" w:lineRule="exact"/>
              <w:jc w:val="center"/>
              <w:rPr>
                <w:color w:val="000000"/>
                <w:sz w:val="15"/>
                <w:szCs w:val="15"/>
                <w:lang w:eastAsia="zh-CN"/>
              </w:rPr>
            </w:pPr>
            <w:r>
              <w:rPr>
                <w:rFonts w:hint="eastAsia"/>
                <w:color w:val="000000"/>
                <w:sz w:val="15"/>
                <w:szCs w:val="15"/>
                <w:lang w:eastAsia="zh-CN"/>
              </w:rPr>
              <w:t>精神分裂症病人生活质量量表</w:t>
            </w:r>
          </w:p>
        </w:tc>
      </w:tr>
      <w:tr w14:paraId="0EC4D6BE">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DDC1A91">
            <w:pPr>
              <w:widowControl/>
              <w:spacing w:line="240" w:lineRule="exact"/>
              <w:jc w:val="center"/>
              <w:rPr>
                <w:color w:val="000000"/>
                <w:sz w:val="15"/>
                <w:szCs w:val="15"/>
              </w:rPr>
            </w:pPr>
            <w:r>
              <w:rPr>
                <w:rFonts w:hint="eastAsia"/>
                <w:color w:val="000000"/>
                <w:sz w:val="15"/>
                <w:szCs w:val="15"/>
              </w:rPr>
              <w:t>29</w:t>
            </w:r>
          </w:p>
        </w:tc>
        <w:tc>
          <w:tcPr>
            <w:tcW w:w="2409" w:type="dxa"/>
            <w:tcBorders>
              <w:top w:val="nil"/>
              <w:left w:val="nil"/>
              <w:bottom w:val="single" w:color="auto" w:sz="4" w:space="0"/>
              <w:right w:val="single" w:color="auto" w:sz="4" w:space="0"/>
            </w:tcBorders>
            <w:shd w:val="clear" w:color="auto" w:fill="auto"/>
            <w:noWrap/>
            <w:vAlign w:val="center"/>
          </w:tcPr>
          <w:p w14:paraId="0A846234">
            <w:pPr>
              <w:widowControl/>
              <w:spacing w:line="240" w:lineRule="exact"/>
              <w:jc w:val="center"/>
              <w:rPr>
                <w:color w:val="000000"/>
                <w:sz w:val="15"/>
                <w:szCs w:val="15"/>
              </w:rPr>
            </w:pPr>
            <w:r>
              <w:rPr>
                <w:rFonts w:hint="eastAsia"/>
                <w:color w:val="000000"/>
                <w:sz w:val="15"/>
                <w:szCs w:val="15"/>
              </w:rPr>
              <w:t>临床痴呆评定</w:t>
            </w:r>
          </w:p>
        </w:tc>
        <w:tc>
          <w:tcPr>
            <w:tcW w:w="441" w:type="dxa"/>
            <w:tcBorders>
              <w:top w:val="nil"/>
              <w:left w:val="nil"/>
              <w:bottom w:val="single" w:color="auto" w:sz="4" w:space="0"/>
              <w:right w:val="single" w:color="auto" w:sz="4" w:space="0"/>
            </w:tcBorders>
            <w:shd w:val="clear" w:color="auto" w:fill="auto"/>
            <w:noWrap/>
            <w:vAlign w:val="center"/>
          </w:tcPr>
          <w:p w14:paraId="088EF5AD">
            <w:pPr>
              <w:widowControl/>
              <w:spacing w:line="240" w:lineRule="exact"/>
              <w:jc w:val="center"/>
              <w:rPr>
                <w:color w:val="000000"/>
                <w:sz w:val="15"/>
                <w:szCs w:val="15"/>
              </w:rPr>
            </w:pPr>
            <w:r>
              <w:rPr>
                <w:rFonts w:hint="eastAsia"/>
                <w:color w:val="000000"/>
                <w:sz w:val="15"/>
                <w:szCs w:val="15"/>
              </w:rPr>
              <w:t>97</w:t>
            </w:r>
          </w:p>
        </w:tc>
        <w:tc>
          <w:tcPr>
            <w:tcW w:w="2678" w:type="dxa"/>
            <w:tcBorders>
              <w:top w:val="nil"/>
              <w:left w:val="nil"/>
              <w:bottom w:val="single" w:color="auto" w:sz="4" w:space="0"/>
              <w:right w:val="single" w:color="auto" w:sz="4" w:space="0"/>
            </w:tcBorders>
            <w:shd w:val="clear" w:color="auto" w:fill="auto"/>
            <w:noWrap/>
            <w:vAlign w:val="center"/>
          </w:tcPr>
          <w:p w14:paraId="3715DCCA">
            <w:pPr>
              <w:widowControl/>
              <w:spacing w:line="240" w:lineRule="exact"/>
              <w:jc w:val="center"/>
              <w:rPr>
                <w:color w:val="000000"/>
                <w:sz w:val="15"/>
                <w:szCs w:val="15"/>
                <w:lang w:eastAsia="zh-CN"/>
              </w:rPr>
            </w:pPr>
            <w:r>
              <w:rPr>
                <w:rFonts w:hint="eastAsia"/>
                <w:color w:val="000000"/>
                <w:sz w:val="15"/>
                <w:szCs w:val="15"/>
                <w:lang w:eastAsia="zh-CN"/>
              </w:rPr>
              <w:t>凯尔西气质类型调查问卷</w:t>
            </w:r>
          </w:p>
        </w:tc>
        <w:tc>
          <w:tcPr>
            <w:tcW w:w="567" w:type="dxa"/>
            <w:tcBorders>
              <w:top w:val="nil"/>
              <w:left w:val="nil"/>
              <w:bottom w:val="single" w:color="auto" w:sz="4" w:space="0"/>
              <w:right w:val="single" w:color="auto" w:sz="4" w:space="0"/>
            </w:tcBorders>
            <w:shd w:val="clear" w:color="auto" w:fill="auto"/>
            <w:noWrap/>
            <w:vAlign w:val="center"/>
          </w:tcPr>
          <w:p w14:paraId="4757BE2F">
            <w:pPr>
              <w:widowControl/>
              <w:spacing w:line="240" w:lineRule="exact"/>
              <w:jc w:val="center"/>
              <w:rPr>
                <w:color w:val="000000"/>
                <w:sz w:val="15"/>
                <w:szCs w:val="15"/>
              </w:rPr>
            </w:pPr>
            <w:r>
              <w:rPr>
                <w:rFonts w:hint="eastAsia"/>
                <w:color w:val="000000"/>
                <w:sz w:val="15"/>
                <w:szCs w:val="15"/>
              </w:rPr>
              <w:t>165</w:t>
            </w:r>
          </w:p>
        </w:tc>
        <w:tc>
          <w:tcPr>
            <w:tcW w:w="2551" w:type="dxa"/>
            <w:tcBorders>
              <w:top w:val="nil"/>
              <w:left w:val="nil"/>
              <w:bottom w:val="single" w:color="auto" w:sz="4" w:space="0"/>
              <w:right w:val="single" w:color="auto" w:sz="4" w:space="0"/>
            </w:tcBorders>
            <w:shd w:val="clear" w:color="auto" w:fill="auto"/>
            <w:noWrap/>
            <w:vAlign w:val="center"/>
          </w:tcPr>
          <w:p w14:paraId="1370BBF1">
            <w:pPr>
              <w:widowControl/>
              <w:spacing w:line="240" w:lineRule="exact"/>
              <w:jc w:val="center"/>
              <w:rPr>
                <w:color w:val="000000"/>
                <w:sz w:val="15"/>
                <w:szCs w:val="15"/>
              </w:rPr>
            </w:pPr>
            <w:r>
              <w:rPr>
                <w:rFonts w:hint="eastAsia"/>
                <w:color w:val="000000"/>
                <w:sz w:val="15"/>
                <w:szCs w:val="15"/>
              </w:rPr>
              <w:t>中学生应激源量表</w:t>
            </w:r>
          </w:p>
        </w:tc>
      </w:tr>
      <w:tr w14:paraId="21CFD5B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B6064D9">
            <w:pPr>
              <w:widowControl/>
              <w:spacing w:line="240" w:lineRule="exact"/>
              <w:jc w:val="center"/>
              <w:rPr>
                <w:color w:val="000000"/>
                <w:sz w:val="15"/>
                <w:szCs w:val="15"/>
              </w:rPr>
            </w:pPr>
            <w:r>
              <w:rPr>
                <w:rFonts w:hint="eastAsia"/>
                <w:color w:val="000000"/>
                <w:sz w:val="15"/>
                <w:szCs w:val="15"/>
              </w:rPr>
              <w:t>30</w:t>
            </w:r>
          </w:p>
        </w:tc>
        <w:tc>
          <w:tcPr>
            <w:tcW w:w="2409" w:type="dxa"/>
            <w:tcBorders>
              <w:top w:val="nil"/>
              <w:left w:val="nil"/>
              <w:bottom w:val="single" w:color="auto" w:sz="4" w:space="0"/>
              <w:right w:val="single" w:color="auto" w:sz="4" w:space="0"/>
            </w:tcBorders>
            <w:shd w:val="clear" w:color="auto" w:fill="auto"/>
            <w:noWrap/>
            <w:vAlign w:val="center"/>
          </w:tcPr>
          <w:p w14:paraId="69DEA7B0">
            <w:pPr>
              <w:widowControl/>
              <w:spacing w:line="240" w:lineRule="exact"/>
              <w:jc w:val="center"/>
              <w:rPr>
                <w:color w:val="000000"/>
                <w:sz w:val="15"/>
                <w:szCs w:val="15"/>
              </w:rPr>
            </w:pPr>
            <w:r>
              <w:rPr>
                <w:rFonts w:hint="eastAsia"/>
                <w:color w:val="000000"/>
                <w:sz w:val="15"/>
                <w:szCs w:val="15"/>
              </w:rPr>
              <w:t>流调用抑郁量表</w:t>
            </w:r>
          </w:p>
        </w:tc>
        <w:tc>
          <w:tcPr>
            <w:tcW w:w="441" w:type="dxa"/>
            <w:tcBorders>
              <w:top w:val="nil"/>
              <w:left w:val="nil"/>
              <w:bottom w:val="single" w:color="auto" w:sz="4" w:space="0"/>
              <w:right w:val="single" w:color="auto" w:sz="4" w:space="0"/>
            </w:tcBorders>
            <w:shd w:val="clear" w:color="auto" w:fill="auto"/>
            <w:noWrap/>
            <w:vAlign w:val="center"/>
          </w:tcPr>
          <w:p w14:paraId="58F76988">
            <w:pPr>
              <w:widowControl/>
              <w:spacing w:line="240" w:lineRule="exact"/>
              <w:jc w:val="center"/>
              <w:rPr>
                <w:color w:val="000000"/>
                <w:sz w:val="15"/>
                <w:szCs w:val="15"/>
              </w:rPr>
            </w:pPr>
            <w:r>
              <w:rPr>
                <w:rFonts w:hint="eastAsia"/>
                <w:color w:val="000000"/>
                <w:sz w:val="15"/>
                <w:szCs w:val="15"/>
              </w:rPr>
              <w:t>98</w:t>
            </w:r>
          </w:p>
        </w:tc>
        <w:tc>
          <w:tcPr>
            <w:tcW w:w="2678" w:type="dxa"/>
            <w:tcBorders>
              <w:top w:val="nil"/>
              <w:left w:val="nil"/>
              <w:bottom w:val="single" w:color="auto" w:sz="4" w:space="0"/>
              <w:right w:val="single" w:color="auto" w:sz="4" w:space="0"/>
            </w:tcBorders>
            <w:shd w:val="clear" w:color="auto" w:fill="auto"/>
            <w:noWrap/>
            <w:vAlign w:val="center"/>
          </w:tcPr>
          <w:p w14:paraId="0A12BAB1">
            <w:pPr>
              <w:widowControl/>
              <w:spacing w:line="240" w:lineRule="exact"/>
              <w:jc w:val="center"/>
              <w:rPr>
                <w:color w:val="000000"/>
                <w:sz w:val="15"/>
                <w:szCs w:val="15"/>
              </w:rPr>
            </w:pPr>
            <w:r>
              <w:rPr>
                <w:rFonts w:hint="eastAsia"/>
                <w:color w:val="000000"/>
                <w:sz w:val="15"/>
                <w:szCs w:val="15"/>
              </w:rPr>
              <w:t>心境障碍问卷</w:t>
            </w:r>
          </w:p>
        </w:tc>
        <w:tc>
          <w:tcPr>
            <w:tcW w:w="567" w:type="dxa"/>
            <w:tcBorders>
              <w:top w:val="nil"/>
              <w:left w:val="nil"/>
              <w:bottom w:val="single" w:color="auto" w:sz="4" w:space="0"/>
              <w:right w:val="single" w:color="auto" w:sz="4" w:space="0"/>
            </w:tcBorders>
            <w:shd w:val="clear" w:color="auto" w:fill="auto"/>
            <w:noWrap/>
            <w:vAlign w:val="center"/>
          </w:tcPr>
          <w:p w14:paraId="733A424B">
            <w:pPr>
              <w:widowControl/>
              <w:spacing w:line="240" w:lineRule="exact"/>
              <w:jc w:val="center"/>
              <w:rPr>
                <w:color w:val="000000"/>
                <w:sz w:val="15"/>
                <w:szCs w:val="15"/>
              </w:rPr>
            </w:pPr>
            <w:r>
              <w:rPr>
                <w:rFonts w:hint="eastAsia"/>
                <w:color w:val="000000"/>
                <w:sz w:val="15"/>
                <w:szCs w:val="15"/>
              </w:rPr>
              <w:t>166</w:t>
            </w:r>
          </w:p>
        </w:tc>
        <w:tc>
          <w:tcPr>
            <w:tcW w:w="2551" w:type="dxa"/>
            <w:tcBorders>
              <w:top w:val="nil"/>
              <w:left w:val="nil"/>
              <w:bottom w:val="single" w:color="auto" w:sz="4" w:space="0"/>
              <w:right w:val="single" w:color="auto" w:sz="4" w:space="0"/>
            </w:tcBorders>
            <w:shd w:val="clear" w:color="auto" w:fill="auto"/>
            <w:noWrap/>
            <w:vAlign w:val="center"/>
          </w:tcPr>
          <w:p w14:paraId="4D9ECA3D">
            <w:pPr>
              <w:widowControl/>
              <w:spacing w:line="240" w:lineRule="exact"/>
              <w:jc w:val="center"/>
              <w:rPr>
                <w:color w:val="000000"/>
                <w:sz w:val="15"/>
                <w:szCs w:val="15"/>
                <w:lang w:eastAsia="zh-CN"/>
              </w:rPr>
            </w:pPr>
            <w:r>
              <w:rPr>
                <w:rFonts w:hint="eastAsia"/>
                <w:color w:val="000000"/>
                <w:sz w:val="15"/>
                <w:szCs w:val="15"/>
                <w:lang w:eastAsia="zh-CN"/>
              </w:rPr>
              <w:t>住院精神病人社会功能评定量表</w:t>
            </w:r>
          </w:p>
        </w:tc>
      </w:tr>
      <w:tr w14:paraId="16C09E3A">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089AC7F">
            <w:pPr>
              <w:widowControl/>
              <w:spacing w:line="240" w:lineRule="exact"/>
              <w:jc w:val="center"/>
              <w:rPr>
                <w:color w:val="000000"/>
                <w:sz w:val="15"/>
                <w:szCs w:val="15"/>
              </w:rPr>
            </w:pPr>
            <w:r>
              <w:rPr>
                <w:rFonts w:hint="eastAsia"/>
                <w:color w:val="000000"/>
                <w:sz w:val="15"/>
                <w:szCs w:val="15"/>
              </w:rPr>
              <w:t>31</w:t>
            </w:r>
          </w:p>
        </w:tc>
        <w:tc>
          <w:tcPr>
            <w:tcW w:w="2409" w:type="dxa"/>
            <w:tcBorders>
              <w:top w:val="nil"/>
              <w:left w:val="nil"/>
              <w:bottom w:val="single" w:color="auto" w:sz="4" w:space="0"/>
              <w:right w:val="single" w:color="auto" w:sz="4" w:space="0"/>
            </w:tcBorders>
            <w:shd w:val="clear" w:color="auto" w:fill="auto"/>
            <w:noWrap/>
            <w:vAlign w:val="center"/>
          </w:tcPr>
          <w:p w14:paraId="09B811CD">
            <w:pPr>
              <w:widowControl/>
              <w:spacing w:line="240" w:lineRule="exact"/>
              <w:jc w:val="center"/>
              <w:rPr>
                <w:color w:val="000000"/>
                <w:sz w:val="15"/>
                <w:szCs w:val="15"/>
              </w:rPr>
            </w:pPr>
            <w:r>
              <w:rPr>
                <w:rFonts w:hint="eastAsia"/>
                <w:color w:val="000000"/>
                <w:sz w:val="15"/>
                <w:szCs w:val="15"/>
              </w:rPr>
              <w:t>临床总体印象量表</w:t>
            </w:r>
          </w:p>
        </w:tc>
        <w:tc>
          <w:tcPr>
            <w:tcW w:w="441" w:type="dxa"/>
            <w:tcBorders>
              <w:top w:val="nil"/>
              <w:left w:val="nil"/>
              <w:bottom w:val="single" w:color="auto" w:sz="4" w:space="0"/>
              <w:right w:val="single" w:color="auto" w:sz="4" w:space="0"/>
            </w:tcBorders>
            <w:shd w:val="clear" w:color="auto" w:fill="auto"/>
            <w:noWrap/>
            <w:vAlign w:val="center"/>
          </w:tcPr>
          <w:p w14:paraId="678FDF8E">
            <w:pPr>
              <w:widowControl/>
              <w:spacing w:line="240" w:lineRule="exact"/>
              <w:jc w:val="center"/>
              <w:rPr>
                <w:color w:val="000000"/>
                <w:sz w:val="15"/>
                <w:szCs w:val="15"/>
              </w:rPr>
            </w:pPr>
            <w:r>
              <w:rPr>
                <w:rFonts w:hint="eastAsia"/>
                <w:color w:val="000000"/>
                <w:sz w:val="15"/>
                <w:szCs w:val="15"/>
              </w:rPr>
              <w:t>99</w:t>
            </w:r>
          </w:p>
        </w:tc>
        <w:tc>
          <w:tcPr>
            <w:tcW w:w="2678" w:type="dxa"/>
            <w:tcBorders>
              <w:top w:val="nil"/>
              <w:left w:val="nil"/>
              <w:bottom w:val="single" w:color="auto" w:sz="4" w:space="0"/>
              <w:right w:val="single" w:color="auto" w:sz="4" w:space="0"/>
            </w:tcBorders>
            <w:shd w:val="clear" w:color="auto" w:fill="auto"/>
            <w:noWrap/>
            <w:vAlign w:val="center"/>
          </w:tcPr>
          <w:p w14:paraId="5FD104B1">
            <w:pPr>
              <w:widowControl/>
              <w:spacing w:line="240" w:lineRule="exact"/>
              <w:jc w:val="center"/>
              <w:rPr>
                <w:color w:val="000000"/>
                <w:sz w:val="15"/>
                <w:szCs w:val="15"/>
                <w:lang w:eastAsia="zh-CN"/>
              </w:rPr>
            </w:pPr>
            <w:r>
              <w:rPr>
                <w:rFonts w:hint="eastAsia"/>
                <w:color w:val="000000"/>
                <w:sz w:val="15"/>
                <w:szCs w:val="15"/>
                <w:lang w:eastAsia="zh-CN"/>
              </w:rPr>
              <w:t>小学生心理健康评定量表</w:t>
            </w:r>
          </w:p>
        </w:tc>
        <w:tc>
          <w:tcPr>
            <w:tcW w:w="567" w:type="dxa"/>
            <w:tcBorders>
              <w:top w:val="nil"/>
              <w:left w:val="nil"/>
              <w:bottom w:val="single" w:color="auto" w:sz="4" w:space="0"/>
              <w:right w:val="single" w:color="auto" w:sz="4" w:space="0"/>
            </w:tcBorders>
            <w:shd w:val="clear" w:color="auto" w:fill="auto"/>
            <w:noWrap/>
            <w:vAlign w:val="center"/>
          </w:tcPr>
          <w:p w14:paraId="39B792CF">
            <w:pPr>
              <w:widowControl/>
              <w:spacing w:line="240" w:lineRule="exact"/>
              <w:jc w:val="center"/>
              <w:rPr>
                <w:color w:val="000000"/>
                <w:sz w:val="15"/>
                <w:szCs w:val="15"/>
              </w:rPr>
            </w:pPr>
            <w:r>
              <w:rPr>
                <w:rFonts w:hint="eastAsia"/>
                <w:color w:val="000000"/>
                <w:sz w:val="15"/>
                <w:szCs w:val="15"/>
              </w:rPr>
              <w:t>167</w:t>
            </w:r>
          </w:p>
        </w:tc>
        <w:tc>
          <w:tcPr>
            <w:tcW w:w="2551" w:type="dxa"/>
            <w:tcBorders>
              <w:top w:val="nil"/>
              <w:left w:val="nil"/>
              <w:bottom w:val="single" w:color="auto" w:sz="4" w:space="0"/>
              <w:right w:val="single" w:color="auto" w:sz="4" w:space="0"/>
            </w:tcBorders>
            <w:shd w:val="clear" w:color="auto" w:fill="auto"/>
            <w:noWrap/>
            <w:vAlign w:val="center"/>
          </w:tcPr>
          <w:p w14:paraId="01AEE9A9">
            <w:pPr>
              <w:widowControl/>
              <w:spacing w:line="240" w:lineRule="exact"/>
              <w:jc w:val="center"/>
              <w:rPr>
                <w:color w:val="000000"/>
                <w:sz w:val="15"/>
                <w:szCs w:val="15"/>
              </w:rPr>
            </w:pPr>
            <w:r>
              <w:rPr>
                <w:rFonts w:hint="eastAsia"/>
                <w:color w:val="000000"/>
                <w:sz w:val="15"/>
                <w:szCs w:val="15"/>
              </w:rPr>
              <w:t>躯体症状分类量表</w:t>
            </w:r>
          </w:p>
        </w:tc>
      </w:tr>
      <w:tr w14:paraId="4BFC8910">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DA6E7E1">
            <w:pPr>
              <w:widowControl/>
              <w:spacing w:line="240" w:lineRule="exact"/>
              <w:jc w:val="center"/>
              <w:rPr>
                <w:color w:val="000000"/>
                <w:sz w:val="15"/>
                <w:szCs w:val="15"/>
              </w:rPr>
            </w:pPr>
            <w:r>
              <w:rPr>
                <w:rFonts w:hint="eastAsia"/>
                <w:color w:val="000000"/>
                <w:sz w:val="15"/>
                <w:szCs w:val="15"/>
              </w:rPr>
              <w:t>32</w:t>
            </w:r>
          </w:p>
        </w:tc>
        <w:tc>
          <w:tcPr>
            <w:tcW w:w="2409" w:type="dxa"/>
            <w:tcBorders>
              <w:top w:val="nil"/>
              <w:left w:val="nil"/>
              <w:bottom w:val="single" w:color="auto" w:sz="4" w:space="0"/>
              <w:right w:val="single" w:color="auto" w:sz="4" w:space="0"/>
            </w:tcBorders>
            <w:shd w:val="clear" w:color="auto" w:fill="auto"/>
            <w:noWrap/>
            <w:vAlign w:val="center"/>
          </w:tcPr>
          <w:p w14:paraId="35BB2FD9">
            <w:pPr>
              <w:widowControl/>
              <w:spacing w:line="240" w:lineRule="exact"/>
              <w:jc w:val="center"/>
              <w:rPr>
                <w:color w:val="000000"/>
                <w:sz w:val="15"/>
                <w:szCs w:val="15"/>
                <w:lang w:eastAsia="zh-CN"/>
              </w:rPr>
            </w:pPr>
            <w:r>
              <w:rPr>
                <w:rFonts w:hint="eastAsia"/>
                <w:color w:val="000000"/>
                <w:sz w:val="15"/>
                <w:szCs w:val="15"/>
                <w:lang w:eastAsia="zh-CN"/>
              </w:rPr>
              <w:t>剑桥-霍普金斯不宁腿综合征问卷</w:t>
            </w:r>
          </w:p>
        </w:tc>
        <w:tc>
          <w:tcPr>
            <w:tcW w:w="441" w:type="dxa"/>
            <w:tcBorders>
              <w:top w:val="nil"/>
              <w:left w:val="nil"/>
              <w:bottom w:val="single" w:color="auto" w:sz="4" w:space="0"/>
              <w:right w:val="single" w:color="auto" w:sz="4" w:space="0"/>
            </w:tcBorders>
            <w:shd w:val="clear" w:color="auto" w:fill="auto"/>
            <w:noWrap/>
            <w:vAlign w:val="center"/>
          </w:tcPr>
          <w:p w14:paraId="06C29A68">
            <w:pPr>
              <w:widowControl/>
              <w:spacing w:line="240" w:lineRule="exact"/>
              <w:jc w:val="center"/>
              <w:rPr>
                <w:color w:val="000000"/>
                <w:sz w:val="15"/>
                <w:szCs w:val="15"/>
              </w:rPr>
            </w:pPr>
            <w:r>
              <w:rPr>
                <w:rFonts w:hint="eastAsia"/>
                <w:color w:val="000000"/>
                <w:sz w:val="15"/>
                <w:szCs w:val="15"/>
              </w:rPr>
              <w:t>100</w:t>
            </w:r>
          </w:p>
        </w:tc>
        <w:tc>
          <w:tcPr>
            <w:tcW w:w="2678" w:type="dxa"/>
            <w:tcBorders>
              <w:top w:val="nil"/>
              <w:left w:val="nil"/>
              <w:bottom w:val="single" w:color="auto" w:sz="4" w:space="0"/>
              <w:right w:val="single" w:color="auto" w:sz="4" w:space="0"/>
            </w:tcBorders>
            <w:shd w:val="clear" w:color="auto" w:fill="auto"/>
            <w:noWrap/>
            <w:vAlign w:val="center"/>
          </w:tcPr>
          <w:p w14:paraId="7723CB50">
            <w:pPr>
              <w:widowControl/>
              <w:spacing w:line="240" w:lineRule="exact"/>
              <w:jc w:val="center"/>
              <w:rPr>
                <w:color w:val="000000"/>
                <w:sz w:val="15"/>
                <w:szCs w:val="15"/>
                <w:lang w:eastAsia="zh-CN"/>
              </w:rPr>
            </w:pPr>
            <w:r>
              <w:rPr>
                <w:rFonts w:hint="eastAsia"/>
                <w:color w:val="000000"/>
                <w:sz w:val="15"/>
                <w:szCs w:val="15"/>
                <w:lang w:eastAsia="zh-CN"/>
              </w:rPr>
              <w:t>中学生心理健康诊断测验</w:t>
            </w:r>
          </w:p>
        </w:tc>
        <w:tc>
          <w:tcPr>
            <w:tcW w:w="567" w:type="dxa"/>
            <w:tcBorders>
              <w:top w:val="nil"/>
              <w:left w:val="nil"/>
              <w:bottom w:val="single" w:color="auto" w:sz="4" w:space="0"/>
              <w:right w:val="single" w:color="auto" w:sz="4" w:space="0"/>
            </w:tcBorders>
            <w:shd w:val="clear" w:color="auto" w:fill="auto"/>
            <w:noWrap/>
            <w:vAlign w:val="center"/>
          </w:tcPr>
          <w:p w14:paraId="7790BF41">
            <w:pPr>
              <w:widowControl/>
              <w:spacing w:line="240" w:lineRule="exact"/>
              <w:jc w:val="center"/>
              <w:rPr>
                <w:color w:val="000000"/>
                <w:sz w:val="15"/>
                <w:szCs w:val="15"/>
              </w:rPr>
            </w:pPr>
            <w:r>
              <w:rPr>
                <w:rFonts w:hint="eastAsia"/>
                <w:color w:val="000000"/>
                <w:sz w:val="15"/>
                <w:szCs w:val="15"/>
              </w:rPr>
              <w:t>168</w:t>
            </w:r>
          </w:p>
        </w:tc>
        <w:tc>
          <w:tcPr>
            <w:tcW w:w="2551" w:type="dxa"/>
            <w:tcBorders>
              <w:top w:val="nil"/>
              <w:left w:val="nil"/>
              <w:bottom w:val="single" w:color="auto" w:sz="4" w:space="0"/>
              <w:right w:val="single" w:color="auto" w:sz="4" w:space="0"/>
            </w:tcBorders>
            <w:shd w:val="clear" w:color="auto" w:fill="auto"/>
            <w:noWrap/>
            <w:vAlign w:val="center"/>
          </w:tcPr>
          <w:p w14:paraId="2EC9242F">
            <w:pPr>
              <w:widowControl/>
              <w:spacing w:line="240" w:lineRule="exact"/>
              <w:jc w:val="center"/>
              <w:rPr>
                <w:color w:val="000000"/>
                <w:sz w:val="15"/>
                <w:szCs w:val="15"/>
              </w:rPr>
            </w:pPr>
            <w:r>
              <w:rPr>
                <w:rFonts w:hint="eastAsia"/>
                <w:color w:val="000000"/>
                <w:sz w:val="15"/>
                <w:szCs w:val="15"/>
              </w:rPr>
              <w:t>躯体化症状自评量表</w:t>
            </w:r>
          </w:p>
        </w:tc>
      </w:tr>
      <w:tr w14:paraId="68AD874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276B2FA">
            <w:pPr>
              <w:widowControl/>
              <w:spacing w:line="240" w:lineRule="exact"/>
              <w:jc w:val="center"/>
              <w:rPr>
                <w:color w:val="000000"/>
                <w:sz w:val="15"/>
                <w:szCs w:val="15"/>
              </w:rPr>
            </w:pPr>
            <w:r>
              <w:rPr>
                <w:rFonts w:hint="eastAsia"/>
                <w:color w:val="000000"/>
                <w:sz w:val="15"/>
                <w:szCs w:val="15"/>
              </w:rPr>
              <w:t>33</w:t>
            </w:r>
          </w:p>
        </w:tc>
        <w:tc>
          <w:tcPr>
            <w:tcW w:w="2409" w:type="dxa"/>
            <w:tcBorders>
              <w:top w:val="nil"/>
              <w:left w:val="nil"/>
              <w:bottom w:val="single" w:color="auto" w:sz="4" w:space="0"/>
              <w:right w:val="single" w:color="auto" w:sz="4" w:space="0"/>
            </w:tcBorders>
            <w:shd w:val="clear" w:color="auto" w:fill="auto"/>
            <w:noWrap/>
            <w:vAlign w:val="center"/>
          </w:tcPr>
          <w:p w14:paraId="0221866B">
            <w:pPr>
              <w:widowControl/>
              <w:spacing w:line="240" w:lineRule="exact"/>
              <w:jc w:val="center"/>
              <w:rPr>
                <w:color w:val="000000"/>
                <w:sz w:val="15"/>
                <w:szCs w:val="15"/>
                <w:lang w:eastAsia="zh-CN"/>
              </w:rPr>
            </w:pPr>
            <w:r>
              <w:rPr>
                <w:rFonts w:hint="eastAsia"/>
                <w:color w:val="000000"/>
                <w:sz w:val="15"/>
                <w:szCs w:val="15"/>
                <w:lang w:eastAsia="zh-CN"/>
              </w:rPr>
              <w:t>临床医师通过面谈对变化的印象</w:t>
            </w:r>
          </w:p>
        </w:tc>
        <w:tc>
          <w:tcPr>
            <w:tcW w:w="441" w:type="dxa"/>
            <w:tcBorders>
              <w:top w:val="nil"/>
              <w:left w:val="nil"/>
              <w:bottom w:val="single" w:color="auto" w:sz="4" w:space="0"/>
              <w:right w:val="single" w:color="auto" w:sz="4" w:space="0"/>
            </w:tcBorders>
            <w:shd w:val="clear" w:color="auto" w:fill="auto"/>
            <w:noWrap/>
            <w:vAlign w:val="center"/>
          </w:tcPr>
          <w:p w14:paraId="248E3E06">
            <w:pPr>
              <w:widowControl/>
              <w:spacing w:line="240" w:lineRule="exact"/>
              <w:jc w:val="center"/>
              <w:rPr>
                <w:color w:val="000000"/>
                <w:sz w:val="15"/>
                <w:szCs w:val="15"/>
              </w:rPr>
            </w:pPr>
            <w:r>
              <w:rPr>
                <w:rFonts w:hint="eastAsia"/>
                <w:color w:val="000000"/>
                <w:sz w:val="15"/>
                <w:szCs w:val="15"/>
              </w:rPr>
              <w:t>101</w:t>
            </w:r>
          </w:p>
        </w:tc>
        <w:tc>
          <w:tcPr>
            <w:tcW w:w="2678" w:type="dxa"/>
            <w:tcBorders>
              <w:top w:val="nil"/>
              <w:left w:val="nil"/>
              <w:bottom w:val="single" w:color="auto" w:sz="4" w:space="0"/>
              <w:right w:val="single" w:color="auto" w:sz="4" w:space="0"/>
            </w:tcBorders>
            <w:shd w:val="clear" w:color="auto" w:fill="auto"/>
            <w:noWrap/>
            <w:vAlign w:val="center"/>
          </w:tcPr>
          <w:p w14:paraId="26681CBE">
            <w:pPr>
              <w:widowControl/>
              <w:spacing w:line="240" w:lineRule="exact"/>
              <w:jc w:val="center"/>
              <w:rPr>
                <w:color w:val="000000"/>
                <w:sz w:val="15"/>
                <w:szCs w:val="15"/>
              </w:rPr>
            </w:pPr>
            <w:r>
              <w:rPr>
                <w:rFonts w:hint="eastAsia"/>
                <w:color w:val="000000"/>
                <w:sz w:val="15"/>
                <w:szCs w:val="15"/>
              </w:rPr>
              <w:t>婚姻心理控制源量表</w:t>
            </w:r>
          </w:p>
        </w:tc>
        <w:tc>
          <w:tcPr>
            <w:tcW w:w="567" w:type="dxa"/>
            <w:tcBorders>
              <w:top w:val="nil"/>
              <w:left w:val="nil"/>
              <w:bottom w:val="single" w:color="auto" w:sz="4" w:space="0"/>
              <w:right w:val="single" w:color="auto" w:sz="4" w:space="0"/>
            </w:tcBorders>
            <w:shd w:val="clear" w:color="auto" w:fill="auto"/>
            <w:noWrap/>
            <w:vAlign w:val="center"/>
          </w:tcPr>
          <w:p w14:paraId="68FE2B72">
            <w:pPr>
              <w:widowControl/>
              <w:spacing w:line="240" w:lineRule="exact"/>
              <w:jc w:val="center"/>
              <w:rPr>
                <w:color w:val="000000"/>
                <w:sz w:val="15"/>
                <w:szCs w:val="15"/>
              </w:rPr>
            </w:pPr>
            <w:r>
              <w:rPr>
                <w:rFonts w:hint="eastAsia"/>
                <w:color w:val="000000"/>
                <w:sz w:val="15"/>
                <w:szCs w:val="15"/>
              </w:rPr>
              <w:t>169</w:t>
            </w:r>
          </w:p>
        </w:tc>
        <w:tc>
          <w:tcPr>
            <w:tcW w:w="2551" w:type="dxa"/>
            <w:tcBorders>
              <w:top w:val="nil"/>
              <w:left w:val="nil"/>
              <w:bottom w:val="single" w:color="auto" w:sz="4" w:space="0"/>
              <w:right w:val="single" w:color="auto" w:sz="4" w:space="0"/>
            </w:tcBorders>
            <w:shd w:val="clear" w:color="auto" w:fill="auto"/>
            <w:noWrap/>
            <w:vAlign w:val="center"/>
          </w:tcPr>
          <w:p w14:paraId="339FFE21">
            <w:pPr>
              <w:widowControl/>
              <w:spacing w:line="240" w:lineRule="exact"/>
              <w:jc w:val="center"/>
              <w:rPr>
                <w:color w:val="000000"/>
                <w:sz w:val="15"/>
                <w:szCs w:val="15"/>
              </w:rPr>
            </w:pPr>
            <w:r>
              <w:rPr>
                <w:rFonts w:hint="eastAsia"/>
                <w:color w:val="000000"/>
                <w:sz w:val="15"/>
                <w:szCs w:val="15"/>
              </w:rPr>
              <w:t>焦虑状态量表</w:t>
            </w:r>
          </w:p>
        </w:tc>
      </w:tr>
      <w:tr w14:paraId="0F143B7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DB4139E">
            <w:pPr>
              <w:widowControl/>
              <w:spacing w:line="240" w:lineRule="exact"/>
              <w:jc w:val="center"/>
              <w:rPr>
                <w:color w:val="000000"/>
                <w:sz w:val="15"/>
                <w:szCs w:val="15"/>
              </w:rPr>
            </w:pPr>
            <w:r>
              <w:rPr>
                <w:rFonts w:hint="eastAsia"/>
                <w:color w:val="000000"/>
                <w:sz w:val="15"/>
                <w:szCs w:val="15"/>
              </w:rPr>
              <w:t>34</w:t>
            </w:r>
          </w:p>
        </w:tc>
        <w:tc>
          <w:tcPr>
            <w:tcW w:w="2409" w:type="dxa"/>
            <w:tcBorders>
              <w:top w:val="nil"/>
              <w:left w:val="nil"/>
              <w:bottom w:val="single" w:color="auto" w:sz="4" w:space="0"/>
              <w:right w:val="single" w:color="auto" w:sz="4" w:space="0"/>
            </w:tcBorders>
            <w:shd w:val="clear" w:color="auto" w:fill="auto"/>
            <w:noWrap/>
            <w:vAlign w:val="center"/>
          </w:tcPr>
          <w:p w14:paraId="7B976EC5">
            <w:pPr>
              <w:widowControl/>
              <w:spacing w:line="240" w:lineRule="exact"/>
              <w:jc w:val="center"/>
              <w:rPr>
                <w:color w:val="000000"/>
                <w:sz w:val="15"/>
                <w:szCs w:val="15"/>
              </w:rPr>
            </w:pPr>
            <w:r>
              <w:rPr>
                <w:rFonts w:hint="eastAsia"/>
                <w:color w:val="000000"/>
                <w:sz w:val="15"/>
                <w:szCs w:val="15"/>
              </w:rPr>
              <w:t>多动指数</w:t>
            </w:r>
          </w:p>
        </w:tc>
        <w:tc>
          <w:tcPr>
            <w:tcW w:w="441" w:type="dxa"/>
            <w:tcBorders>
              <w:top w:val="nil"/>
              <w:left w:val="nil"/>
              <w:bottom w:val="single" w:color="auto" w:sz="4" w:space="0"/>
              <w:right w:val="single" w:color="auto" w:sz="4" w:space="0"/>
            </w:tcBorders>
            <w:shd w:val="clear" w:color="auto" w:fill="auto"/>
            <w:noWrap/>
            <w:vAlign w:val="center"/>
          </w:tcPr>
          <w:p w14:paraId="71B32FD5">
            <w:pPr>
              <w:widowControl/>
              <w:spacing w:line="240" w:lineRule="exact"/>
              <w:jc w:val="center"/>
              <w:rPr>
                <w:color w:val="000000"/>
                <w:sz w:val="15"/>
                <w:szCs w:val="15"/>
              </w:rPr>
            </w:pPr>
            <w:r>
              <w:rPr>
                <w:rFonts w:hint="eastAsia"/>
                <w:color w:val="000000"/>
                <w:sz w:val="15"/>
                <w:szCs w:val="15"/>
              </w:rPr>
              <w:t>102</w:t>
            </w:r>
          </w:p>
        </w:tc>
        <w:tc>
          <w:tcPr>
            <w:tcW w:w="2678" w:type="dxa"/>
            <w:tcBorders>
              <w:top w:val="nil"/>
              <w:left w:val="nil"/>
              <w:bottom w:val="single" w:color="auto" w:sz="4" w:space="0"/>
              <w:right w:val="single" w:color="auto" w:sz="4" w:space="0"/>
            </w:tcBorders>
            <w:shd w:val="clear" w:color="auto" w:fill="auto"/>
            <w:noWrap/>
            <w:vAlign w:val="center"/>
          </w:tcPr>
          <w:p w14:paraId="4FD24C49">
            <w:pPr>
              <w:widowControl/>
              <w:spacing w:line="240" w:lineRule="exact"/>
              <w:jc w:val="center"/>
              <w:rPr>
                <w:color w:val="000000"/>
                <w:sz w:val="15"/>
                <w:szCs w:val="15"/>
              </w:rPr>
            </w:pPr>
            <w:r>
              <w:rPr>
                <w:rFonts w:hint="eastAsia"/>
                <w:color w:val="000000"/>
                <w:sz w:val="15"/>
                <w:szCs w:val="15"/>
              </w:rPr>
              <w:t>总体幸福感量表</w:t>
            </w:r>
          </w:p>
        </w:tc>
        <w:tc>
          <w:tcPr>
            <w:tcW w:w="567" w:type="dxa"/>
            <w:tcBorders>
              <w:top w:val="nil"/>
              <w:left w:val="nil"/>
              <w:bottom w:val="single" w:color="auto" w:sz="4" w:space="0"/>
              <w:right w:val="single" w:color="auto" w:sz="4" w:space="0"/>
            </w:tcBorders>
            <w:shd w:val="clear" w:color="auto" w:fill="auto"/>
            <w:noWrap/>
            <w:vAlign w:val="center"/>
          </w:tcPr>
          <w:p w14:paraId="58D6FB51">
            <w:pPr>
              <w:widowControl/>
              <w:spacing w:line="240" w:lineRule="exact"/>
              <w:jc w:val="center"/>
              <w:rPr>
                <w:color w:val="000000"/>
                <w:sz w:val="15"/>
                <w:szCs w:val="15"/>
              </w:rPr>
            </w:pPr>
            <w:r>
              <w:rPr>
                <w:rFonts w:hint="eastAsia"/>
                <w:color w:val="000000"/>
                <w:sz w:val="15"/>
                <w:szCs w:val="15"/>
              </w:rPr>
              <w:t>170</w:t>
            </w:r>
          </w:p>
        </w:tc>
        <w:tc>
          <w:tcPr>
            <w:tcW w:w="2551" w:type="dxa"/>
            <w:tcBorders>
              <w:top w:val="nil"/>
              <w:left w:val="nil"/>
              <w:bottom w:val="single" w:color="auto" w:sz="4" w:space="0"/>
              <w:right w:val="single" w:color="auto" w:sz="4" w:space="0"/>
            </w:tcBorders>
            <w:shd w:val="clear" w:color="auto" w:fill="auto"/>
            <w:noWrap/>
            <w:vAlign w:val="center"/>
          </w:tcPr>
          <w:p w14:paraId="6D90A777">
            <w:pPr>
              <w:widowControl/>
              <w:spacing w:line="240" w:lineRule="exact"/>
              <w:jc w:val="center"/>
              <w:rPr>
                <w:color w:val="000000"/>
                <w:sz w:val="15"/>
                <w:szCs w:val="15"/>
                <w:lang w:eastAsia="zh-CN"/>
              </w:rPr>
            </w:pPr>
            <w:r>
              <w:rPr>
                <w:rFonts w:hint="eastAsia"/>
                <w:color w:val="000000"/>
                <w:sz w:val="15"/>
                <w:szCs w:val="15"/>
                <w:lang w:eastAsia="zh-CN"/>
              </w:rPr>
              <w:t>脑卒中康复运动功能评定量表</w:t>
            </w:r>
          </w:p>
        </w:tc>
      </w:tr>
      <w:tr w14:paraId="628C560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5FAA86D">
            <w:pPr>
              <w:widowControl/>
              <w:spacing w:line="240" w:lineRule="exact"/>
              <w:jc w:val="center"/>
              <w:rPr>
                <w:color w:val="000000"/>
                <w:sz w:val="15"/>
                <w:szCs w:val="15"/>
              </w:rPr>
            </w:pPr>
            <w:r>
              <w:rPr>
                <w:rFonts w:hint="eastAsia"/>
                <w:color w:val="000000"/>
                <w:sz w:val="15"/>
                <w:szCs w:val="15"/>
              </w:rPr>
              <w:t>35</w:t>
            </w:r>
          </w:p>
        </w:tc>
        <w:tc>
          <w:tcPr>
            <w:tcW w:w="2409" w:type="dxa"/>
            <w:tcBorders>
              <w:top w:val="nil"/>
              <w:left w:val="nil"/>
              <w:bottom w:val="single" w:color="auto" w:sz="4" w:space="0"/>
              <w:right w:val="single" w:color="auto" w:sz="4" w:space="0"/>
            </w:tcBorders>
            <w:shd w:val="clear" w:color="auto" w:fill="auto"/>
            <w:noWrap/>
            <w:vAlign w:val="center"/>
          </w:tcPr>
          <w:p w14:paraId="6DAD5D8F">
            <w:pPr>
              <w:widowControl/>
              <w:spacing w:line="240" w:lineRule="exact"/>
              <w:jc w:val="center"/>
              <w:rPr>
                <w:color w:val="000000"/>
                <w:sz w:val="15"/>
                <w:szCs w:val="15"/>
              </w:rPr>
            </w:pPr>
            <w:r>
              <w:rPr>
                <w:rFonts w:hint="eastAsia"/>
                <w:color w:val="000000"/>
                <w:sz w:val="15"/>
                <w:szCs w:val="15"/>
              </w:rPr>
              <w:t>儿童孤独量表</w:t>
            </w:r>
          </w:p>
        </w:tc>
        <w:tc>
          <w:tcPr>
            <w:tcW w:w="441" w:type="dxa"/>
            <w:tcBorders>
              <w:top w:val="nil"/>
              <w:left w:val="nil"/>
              <w:bottom w:val="single" w:color="auto" w:sz="4" w:space="0"/>
              <w:right w:val="single" w:color="auto" w:sz="4" w:space="0"/>
            </w:tcBorders>
            <w:shd w:val="clear" w:color="auto" w:fill="auto"/>
            <w:noWrap/>
            <w:vAlign w:val="center"/>
          </w:tcPr>
          <w:p w14:paraId="4D941DF1">
            <w:pPr>
              <w:widowControl/>
              <w:spacing w:line="240" w:lineRule="exact"/>
              <w:jc w:val="center"/>
              <w:rPr>
                <w:color w:val="000000"/>
                <w:sz w:val="15"/>
                <w:szCs w:val="15"/>
              </w:rPr>
            </w:pPr>
            <w:r>
              <w:rPr>
                <w:rFonts w:hint="eastAsia"/>
                <w:color w:val="000000"/>
                <w:sz w:val="15"/>
                <w:szCs w:val="15"/>
              </w:rPr>
              <w:t>103</w:t>
            </w:r>
          </w:p>
        </w:tc>
        <w:tc>
          <w:tcPr>
            <w:tcW w:w="2678" w:type="dxa"/>
            <w:tcBorders>
              <w:top w:val="nil"/>
              <w:left w:val="nil"/>
              <w:bottom w:val="single" w:color="auto" w:sz="4" w:space="0"/>
              <w:right w:val="single" w:color="auto" w:sz="4" w:space="0"/>
            </w:tcBorders>
            <w:shd w:val="clear" w:color="auto" w:fill="auto"/>
            <w:noWrap/>
            <w:vAlign w:val="center"/>
          </w:tcPr>
          <w:p w14:paraId="11742DD7">
            <w:pPr>
              <w:widowControl/>
              <w:spacing w:line="240" w:lineRule="exact"/>
              <w:jc w:val="center"/>
              <w:rPr>
                <w:color w:val="000000"/>
                <w:sz w:val="15"/>
                <w:szCs w:val="15"/>
              </w:rPr>
            </w:pPr>
            <w:r>
              <w:rPr>
                <w:rFonts w:hint="eastAsia"/>
                <w:color w:val="000000"/>
                <w:sz w:val="15"/>
                <w:szCs w:val="15"/>
              </w:rPr>
              <w:t>简明精神状况测验</w:t>
            </w:r>
          </w:p>
        </w:tc>
        <w:tc>
          <w:tcPr>
            <w:tcW w:w="567" w:type="dxa"/>
            <w:tcBorders>
              <w:top w:val="nil"/>
              <w:left w:val="nil"/>
              <w:bottom w:val="single" w:color="auto" w:sz="4" w:space="0"/>
              <w:right w:val="single" w:color="auto" w:sz="4" w:space="0"/>
            </w:tcBorders>
            <w:shd w:val="clear" w:color="auto" w:fill="auto"/>
            <w:noWrap/>
            <w:vAlign w:val="center"/>
          </w:tcPr>
          <w:p w14:paraId="68DFBFD2">
            <w:pPr>
              <w:widowControl/>
              <w:spacing w:line="240" w:lineRule="exact"/>
              <w:jc w:val="center"/>
              <w:rPr>
                <w:color w:val="000000"/>
                <w:sz w:val="15"/>
                <w:szCs w:val="15"/>
              </w:rPr>
            </w:pPr>
            <w:r>
              <w:rPr>
                <w:rFonts w:hint="eastAsia"/>
                <w:color w:val="000000"/>
                <w:sz w:val="15"/>
                <w:szCs w:val="15"/>
              </w:rPr>
              <w:t>171</w:t>
            </w:r>
          </w:p>
        </w:tc>
        <w:tc>
          <w:tcPr>
            <w:tcW w:w="2551" w:type="dxa"/>
            <w:tcBorders>
              <w:top w:val="nil"/>
              <w:left w:val="nil"/>
              <w:bottom w:val="single" w:color="auto" w:sz="4" w:space="0"/>
              <w:right w:val="single" w:color="auto" w:sz="4" w:space="0"/>
            </w:tcBorders>
            <w:shd w:val="clear" w:color="auto" w:fill="auto"/>
            <w:noWrap/>
            <w:vAlign w:val="center"/>
          </w:tcPr>
          <w:p w14:paraId="0DDDBE3B">
            <w:pPr>
              <w:widowControl/>
              <w:spacing w:line="240" w:lineRule="exact"/>
              <w:jc w:val="center"/>
              <w:rPr>
                <w:color w:val="000000"/>
                <w:sz w:val="15"/>
                <w:szCs w:val="15"/>
              </w:rPr>
            </w:pPr>
            <w:r>
              <w:rPr>
                <w:rFonts w:hint="eastAsia"/>
                <w:color w:val="000000"/>
                <w:sz w:val="15"/>
                <w:szCs w:val="15"/>
              </w:rPr>
              <w:t>考试焦虑量表</w:t>
            </w:r>
          </w:p>
        </w:tc>
      </w:tr>
      <w:tr w14:paraId="5E3CE89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722F260">
            <w:pPr>
              <w:widowControl/>
              <w:spacing w:line="240" w:lineRule="exact"/>
              <w:jc w:val="center"/>
              <w:rPr>
                <w:color w:val="000000"/>
                <w:sz w:val="15"/>
                <w:szCs w:val="15"/>
              </w:rPr>
            </w:pPr>
            <w:r>
              <w:rPr>
                <w:rFonts w:hint="eastAsia"/>
                <w:color w:val="000000"/>
                <w:sz w:val="15"/>
                <w:szCs w:val="15"/>
              </w:rPr>
              <w:t>36</w:t>
            </w:r>
          </w:p>
        </w:tc>
        <w:tc>
          <w:tcPr>
            <w:tcW w:w="2409" w:type="dxa"/>
            <w:tcBorders>
              <w:top w:val="nil"/>
              <w:left w:val="nil"/>
              <w:bottom w:val="single" w:color="auto" w:sz="4" w:space="0"/>
              <w:right w:val="single" w:color="auto" w:sz="4" w:space="0"/>
            </w:tcBorders>
            <w:shd w:val="clear" w:color="auto" w:fill="auto"/>
            <w:noWrap/>
            <w:vAlign w:val="center"/>
          </w:tcPr>
          <w:p w14:paraId="2D1259DC">
            <w:pPr>
              <w:widowControl/>
              <w:spacing w:line="240" w:lineRule="exact"/>
              <w:jc w:val="center"/>
              <w:rPr>
                <w:color w:val="000000"/>
                <w:sz w:val="15"/>
                <w:szCs w:val="15"/>
              </w:rPr>
            </w:pPr>
            <w:r>
              <w:rPr>
                <w:rFonts w:hint="eastAsia"/>
                <w:color w:val="000000"/>
                <w:sz w:val="15"/>
                <w:szCs w:val="15"/>
              </w:rPr>
              <w:t>Cohen-Mansfield 激越量表</w:t>
            </w:r>
          </w:p>
        </w:tc>
        <w:tc>
          <w:tcPr>
            <w:tcW w:w="441" w:type="dxa"/>
            <w:tcBorders>
              <w:top w:val="nil"/>
              <w:left w:val="nil"/>
              <w:bottom w:val="single" w:color="auto" w:sz="4" w:space="0"/>
              <w:right w:val="single" w:color="auto" w:sz="4" w:space="0"/>
            </w:tcBorders>
            <w:shd w:val="clear" w:color="auto" w:fill="auto"/>
            <w:noWrap/>
            <w:vAlign w:val="center"/>
          </w:tcPr>
          <w:p w14:paraId="41446ABE">
            <w:pPr>
              <w:widowControl/>
              <w:spacing w:line="240" w:lineRule="exact"/>
              <w:jc w:val="center"/>
              <w:rPr>
                <w:color w:val="000000"/>
                <w:sz w:val="15"/>
                <w:szCs w:val="15"/>
              </w:rPr>
            </w:pPr>
            <w:r>
              <w:rPr>
                <w:rFonts w:hint="eastAsia"/>
                <w:color w:val="000000"/>
                <w:sz w:val="15"/>
                <w:szCs w:val="15"/>
              </w:rPr>
              <w:t>104</w:t>
            </w:r>
          </w:p>
        </w:tc>
        <w:tc>
          <w:tcPr>
            <w:tcW w:w="2678" w:type="dxa"/>
            <w:tcBorders>
              <w:top w:val="nil"/>
              <w:left w:val="nil"/>
              <w:bottom w:val="single" w:color="auto" w:sz="4" w:space="0"/>
              <w:right w:val="single" w:color="auto" w:sz="4" w:space="0"/>
            </w:tcBorders>
            <w:shd w:val="clear" w:color="auto" w:fill="auto"/>
            <w:noWrap/>
            <w:vAlign w:val="center"/>
          </w:tcPr>
          <w:p w14:paraId="6E3A5AF2">
            <w:pPr>
              <w:widowControl/>
              <w:spacing w:line="240" w:lineRule="exact"/>
              <w:jc w:val="center"/>
              <w:rPr>
                <w:color w:val="000000"/>
                <w:sz w:val="15"/>
                <w:szCs w:val="15"/>
              </w:rPr>
            </w:pPr>
            <w:r>
              <w:rPr>
                <w:rFonts w:hint="eastAsia"/>
                <w:color w:val="000000"/>
                <w:sz w:val="15"/>
                <w:szCs w:val="15"/>
              </w:rPr>
              <w:t>蒙特利尔认知评估</w:t>
            </w:r>
          </w:p>
        </w:tc>
        <w:tc>
          <w:tcPr>
            <w:tcW w:w="567" w:type="dxa"/>
            <w:tcBorders>
              <w:top w:val="nil"/>
              <w:left w:val="nil"/>
              <w:bottom w:val="single" w:color="auto" w:sz="4" w:space="0"/>
              <w:right w:val="single" w:color="auto" w:sz="4" w:space="0"/>
            </w:tcBorders>
            <w:shd w:val="clear" w:color="auto" w:fill="auto"/>
            <w:noWrap/>
            <w:vAlign w:val="center"/>
          </w:tcPr>
          <w:p w14:paraId="3BC4AA55">
            <w:pPr>
              <w:widowControl/>
              <w:spacing w:line="240" w:lineRule="exact"/>
              <w:jc w:val="center"/>
              <w:rPr>
                <w:color w:val="000000"/>
                <w:sz w:val="15"/>
                <w:szCs w:val="15"/>
              </w:rPr>
            </w:pPr>
            <w:r>
              <w:rPr>
                <w:rFonts w:hint="eastAsia"/>
                <w:color w:val="000000"/>
                <w:sz w:val="15"/>
                <w:szCs w:val="15"/>
              </w:rPr>
              <w:t>172</w:t>
            </w:r>
          </w:p>
        </w:tc>
        <w:tc>
          <w:tcPr>
            <w:tcW w:w="2551" w:type="dxa"/>
            <w:tcBorders>
              <w:top w:val="nil"/>
              <w:left w:val="nil"/>
              <w:bottom w:val="single" w:color="auto" w:sz="4" w:space="0"/>
              <w:right w:val="single" w:color="auto" w:sz="4" w:space="0"/>
            </w:tcBorders>
            <w:shd w:val="clear" w:color="auto" w:fill="auto"/>
            <w:noWrap/>
            <w:vAlign w:val="center"/>
          </w:tcPr>
          <w:p w14:paraId="72751FEC">
            <w:pPr>
              <w:widowControl/>
              <w:spacing w:line="240" w:lineRule="exact"/>
              <w:jc w:val="center"/>
              <w:rPr>
                <w:color w:val="000000"/>
                <w:sz w:val="15"/>
                <w:szCs w:val="15"/>
              </w:rPr>
            </w:pPr>
            <w:r>
              <w:rPr>
                <w:rFonts w:hint="eastAsia"/>
                <w:color w:val="000000"/>
                <w:sz w:val="15"/>
                <w:szCs w:val="15"/>
              </w:rPr>
              <w:t>A 型行为类型问卷</w:t>
            </w:r>
          </w:p>
        </w:tc>
      </w:tr>
      <w:tr w14:paraId="1A27603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E4F2E99">
            <w:pPr>
              <w:widowControl/>
              <w:spacing w:line="240" w:lineRule="exact"/>
              <w:jc w:val="center"/>
              <w:rPr>
                <w:color w:val="000000"/>
                <w:sz w:val="15"/>
                <w:szCs w:val="15"/>
              </w:rPr>
            </w:pPr>
            <w:r>
              <w:rPr>
                <w:rFonts w:hint="eastAsia"/>
                <w:color w:val="000000"/>
                <w:sz w:val="15"/>
                <w:szCs w:val="15"/>
              </w:rPr>
              <w:t>37</w:t>
            </w:r>
          </w:p>
        </w:tc>
        <w:tc>
          <w:tcPr>
            <w:tcW w:w="2409" w:type="dxa"/>
            <w:tcBorders>
              <w:top w:val="nil"/>
              <w:left w:val="nil"/>
              <w:bottom w:val="single" w:color="auto" w:sz="4" w:space="0"/>
              <w:right w:val="single" w:color="auto" w:sz="4" w:space="0"/>
            </w:tcBorders>
            <w:shd w:val="clear" w:color="auto" w:fill="auto"/>
            <w:noWrap/>
            <w:vAlign w:val="center"/>
          </w:tcPr>
          <w:p w14:paraId="47357E99">
            <w:pPr>
              <w:widowControl/>
              <w:spacing w:line="240" w:lineRule="exact"/>
              <w:jc w:val="center"/>
              <w:rPr>
                <w:color w:val="000000"/>
                <w:sz w:val="15"/>
                <w:szCs w:val="15"/>
              </w:rPr>
            </w:pPr>
            <w:r>
              <w:rPr>
                <w:rFonts w:hint="eastAsia"/>
                <w:color w:val="000000"/>
                <w:sz w:val="15"/>
                <w:szCs w:val="15"/>
              </w:rPr>
              <w:t>康奈尔医学指数</w:t>
            </w:r>
          </w:p>
        </w:tc>
        <w:tc>
          <w:tcPr>
            <w:tcW w:w="441" w:type="dxa"/>
            <w:tcBorders>
              <w:top w:val="nil"/>
              <w:left w:val="nil"/>
              <w:bottom w:val="single" w:color="auto" w:sz="4" w:space="0"/>
              <w:right w:val="single" w:color="auto" w:sz="4" w:space="0"/>
            </w:tcBorders>
            <w:shd w:val="clear" w:color="auto" w:fill="auto"/>
            <w:noWrap/>
            <w:vAlign w:val="center"/>
          </w:tcPr>
          <w:p w14:paraId="083E088D">
            <w:pPr>
              <w:widowControl/>
              <w:spacing w:line="240" w:lineRule="exact"/>
              <w:jc w:val="center"/>
              <w:rPr>
                <w:color w:val="000000"/>
                <w:sz w:val="15"/>
                <w:szCs w:val="15"/>
              </w:rPr>
            </w:pPr>
            <w:r>
              <w:rPr>
                <w:rFonts w:hint="eastAsia"/>
                <w:color w:val="000000"/>
                <w:sz w:val="15"/>
                <w:szCs w:val="15"/>
              </w:rPr>
              <w:t>105</w:t>
            </w:r>
          </w:p>
        </w:tc>
        <w:tc>
          <w:tcPr>
            <w:tcW w:w="2678" w:type="dxa"/>
            <w:tcBorders>
              <w:top w:val="nil"/>
              <w:left w:val="nil"/>
              <w:bottom w:val="single" w:color="auto" w:sz="4" w:space="0"/>
              <w:right w:val="single" w:color="auto" w:sz="4" w:space="0"/>
            </w:tcBorders>
            <w:shd w:val="clear" w:color="auto" w:fill="auto"/>
            <w:noWrap/>
            <w:vAlign w:val="center"/>
          </w:tcPr>
          <w:p w14:paraId="7999090B">
            <w:pPr>
              <w:widowControl/>
              <w:spacing w:line="240" w:lineRule="exact"/>
              <w:jc w:val="center"/>
              <w:rPr>
                <w:color w:val="000000"/>
                <w:sz w:val="15"/>
                <w:szCs w:val="15"/>
              </w:rPr>
            </w:pPr>
            <w:r>
              <w:rPr>
                <w:rFonts w:hint="eastAsia"/>
                <w:color w:val="000000"/>
                <w:sz w:val="15"/>
                <w:szCs w:val="15"/>
              </w:rPr>
              <w:t>Marks 恐怖强迫量表</w:t>
            </w:r>
          </w:p>
        </w:tc>
        <w:tc>
          <w:tcPr>
            <w:tcW w:w="567" w:type="dxa"/>
            <w:tcBorders>
              <w:top w:val="nil"/>
              <w:left w:val="nil"/>
              <w:bottom w:val="single" w:color="auto" w:sz="4" w:space="0"/>
              <w:right w:val="single" w:color="auto" w:sz="4" w:space="0"/>
            </w:tcBorders>
            <w:shd w:val="clear" w:color="auto" w:fill="auto"/>
            <w:noWrap/>
            <w:vAlign w:val="center"/>
          </w:tcPr>
          <w:p w14:paraId="7EF61AA5">
            <w:pPr>
              <w:widowControl/>
              <w:spacing w:line="240" w:lineRule="exact"/>
              <w:jc w:val="center"/>
              <w:rPr>
                <w:color w:val="000000"/>
                <w:sz w:val="15"/>
                <w:szCs w:val="15"/>
              </w:rPr>
            </w:pPr>
            <w:r>
              <w:rPr>
                <w:rFonts w:hint="eastAsia"/>
                <w:color w:val="000000"/>
                <w:sz w:val="15"/>
                <w:szCs w:val="15"/>
              </w:rPr>
              <w:t>173</w:t>
            </w:r>
          </w:p>
        </w:tc>
        <w:tc>
          <w:tcPr>
            <w:tcW w:w="2551" w:type="dxa"/>
            <w:tcBorders>
              <w:top w:val="nil"/>
              <w:left w:val="nil"/>
              <w:bottom w:val="single" w:color="auto" w:sz="4" w:space="0"/>
              <w:right w:val="single" w:color="auto" w:sz="4" w:space="0"/>
            </w:tcBorders>
            <w:shd w:val="clear" w:color="auto" w:fill="auto"/>
            <w:noWrap/>
            <w:vAlign w:val="center"/>
          </w:tcPr>
          <w:p w14:paraId="490989B0">
            <w:pPr>
              <w:widowControl/>
              <w:spacing w:line="240" w:lineRule="exact"/>
              <w:jc w:val="center"/>
              <w:rPr>
                <w:color w:val="000000"/>
                <w:sz w:val="15"/>
                <w:szCs w:val="15"/>
                <w:lang w:eastAsia="zh-CN"/>
              </w:rPr>
            </w:pPr>
            <w:r>
              <w:rPr>
                <w:rFonts w:hint="eastAsia"/>
                <w:color w:val="000000"/>
                <w:sz w:val="15"/>
                <w:szCs w:val="15"/>
                <w:lang w:eastAsia="zh-CN"/>
              </w:rPr>
              <w:t>迟发性运动障碍评定量表</w:t>
            </w:r>
          </w:p>
        </w:tc>
      </w:tr>
      <w:tr w14:paraId="1F610E50">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6DAE8BA">
            <w:pPr>
              <w:widowControl/>
              <w:spacing w:line="240" w:lineRule="exact"/>
              <w:jc w:val="center"/>
              <w:rPr>
                <w:color w:val="000000"/>
                <w:sz w:val="15"/>
                <w:szCs w:val="15"/>
              </w:rPr>
            </w:pPr>
            <w:r>
              <w:rPr>
                <w:rFonts w:hint="eastAsia"/>
                <w:color w:val="000000"/>
                <w:sz w:val="15"/>
                <w:szCs w:val="15"/>
              </w:rPr>
              <w:t>38</w:t>
            </w:r>
          </w:p>
        </w:tc>
        <w:tc>
          <w:tcPr>
            <w:tcW w:w="2409" w:type="dxa"/>
            <w:tcBorders>
              <w:top w:val="nil"/>
              <w:left w:val="nil"/>
              <w:bottom w:val="single" w:color="auto" w:sz="4" w:space="0"/>
              <w:right w:val="single" w:color="auto" w:sz="4" w:space="0"/>
            </w:tcBorders>
            <w:shd w:val="clear" w:color="auto" w:fill="auto"/>
            <w:noWrap/>
            <w:vAlign w:val="center"/>
          </w:tcPr>
          <w:p w14:paraId="188DF3B7">
            <w:pPr>
              <w:widowControl/>
              <w:spacing w:line="240" w:lineRule="exact"/>
              <w:jc w:val="center"/>
              <w:rPr>
                <w:color w:val="000000"/>
                <w:sz w:val="15"/>
                <w:szCs w:val="15"/>
              </w:rPr>
            </w:pPr>
            <w:r>
              <w:rPr>
                <w:rFonts w:hint="eastAsia"/>
                <w:color w:val="000000"/>
                <w:sz w:val="15"/>
                <w:szCs w:val="15"/>
              </w:rPr>
              <w:t>儿童社会期望量表</w:t>
            </w:r>
          </w:p>
        </w:tc>
        <w:tc>
          <w:tcPr>
            <w:tcW w:w="441" w:type="dxa"/>
            <w:tcBorders>
              <w:top w:val="nil"/>
              <w:left w:val="nil"/>
              <w:bottom w:val="single" w:color="auto" w:sz="4" w:space="0"/>
              <w:right w:val="single" w:color="auto" w:sz="4" w:space="0"/>
            </w:tcBorders>
            <w:shd w:val="clear" w:color="auto" w:fill="auto"/>
            <w:noWrap/>
            <w:vAlign w:val="center"/>
          </w:tcPr>
          <w:p w14:paraId="2D4D443F">
            <w:pPr>
              <w:widowControl/>
              <w:spacing w:line="240" w:lineRule="exact"/>
              <w:jc w:val="center"/>
              <w:rPr>
                <w:color w:val="000000"/>
                <w:sz w:val="15"/>
                <w:szCs w:val="15"/>
              </w:rPr>
            </w:pPr>
            <w:r>
              <w:rPr>
                <w:rFonts w:hint="eastAsia"/>
                <w:color w:val="000000"/>
                <w:sz w:val="15"/>
                <w:szCs w:val="15"/>
              </w:rPr>
              <w:t>106</w:t>
            </w:r>
          </w:p>
        </w:tc>
        <w:tc>
          <w:tcPr>
            <w:tcW w:w="2678" w:type="dxa"/>
            <w:tcBorders>
              <w:top w:val="nil"/>
              <w:left w:val="nil"/>
              <w:bottom w:val="single" w:color="auto" w:sz="4" w:space="0"/>
              <w:right w:val="single" w:color="auto" w:sz="4" w:space="0"/>
            </w:tcBorders>
            <w:shd w:val="clear" w:color="auto" w:fill="auto"/>
            <w:noWrap/>
            <w:vAlign w:val="center"/>
          </w:tcPr>
          <w:p w14:paraId="37CCF47C">
            <w:pPr>
              <w:widowControl/>
              <w:spacing w:line="240" w:lineRule="exact"/>
              <w:jc w:val="center"/>
              <w:rPr>
                <w:color w:val="000000"/>
                <w:sz w:val="15"/>
                <w:szCs w:val="15"/>
                <w:lang w:eastAsia="zh-CN"/>
              </w:rPr>
            </w:pPr>
            <w:r>
              <w:rPr>
                <w:rFonts w:hint="eastAsia"/>
                <w:color w:val="000000"/>
                <w:sz w:val="15"/>
                <w:szCs w:val="15"/>
                <w:lang w:eastAsia="zh-CN"/>
              </w:rPr>
              <w:t>中学生心理健康评定量表</w:t>
            </w:r>
          </w:p>
        </w:tc>
        <w:tc>
          <w:tcPr>
            <w:tcW w:w="567" w:type="dxa"/>
            <w:tcBorders>
              <w:top w:val="nil"/>
              <w:left w:val="nil"/>
              <w:bottom w:val="single" w:color="auto" w:sz="4" w:space="0"/>
              <w:right w:val="single" w:color="auto" w:sz="4" w:space="0"/>
            </w:tcBorders>
            <w:shd w:val="clear" w:color="auto" w:fill="auto"/>
            <w:noWrap/>
            <w:vAlign w:val="center"/>
          </w:tcPr>
          <w:p w14:paraId="51B97CDF">
            <w:pPr>
              <w:widowControl/>
              <w:spacing w:line="240" w:lineRule="exact"/>
              <w:jc w:val="center"/>
              <w:rPr>
                <w:color w:val="000000"/>
                <w:sz w:val="15"/>
                <w:szCs w:val="15"/>
              </w:rPr>
            </w:pPr>
            <w:r>
              <w:rPr>
                <w:rFonts w:hint="eastAsia"/>
                <w:color w:val="000000"/>
                <w:sz w:val="15"/>
                <w:szCs w:val="15"/>
              </w:rPr>
              <w:t>174</w:t>
            </w:r>
          </w:p>
        </w:tc>
        <w:tc>
          <w:tcPr>
            <w:tcW w:w="2551" w:type="dxa"/>
            <w:tcBorders>
              <w:top w:val="nil"/>
              <w:left w:val="nil"/>
              <w:bottom w:val="single" w:color="auto" w:sz="4" w:space="0"/>
              <w:right w:val="single" w:color="auto" w:sz="4" w:space="0"/>
            </w:tcBorders>
            <w:shd w:val="clear" w:color="auto" w:fill="auto"/>
            <w:noWrap/>
            <w:vAlign w:val="center"/>
          </w:tcPr>
          <w:p w14:paraId="6C613ADE">
            <w:pPr>
              <w:widowControl/>
              <w:spacing w:line="240" w:lineRule="exact"/>
              <w:jc w:val="center"/>
              <w:rPr>
                <w:color w:val="000000"/>
                <w:sz w:val="15"/>
                <w:szCs w:val="15"/>
              </w:rPr>
            </w:pPr>
            <w:r>
              <w:rPr>
                <w:rFonts w:hint="eastAsia"/>
                <w:color w:val="000000"/>
                <w:sz w:val="15"/>
                <w:szCs w:val="15"/>
              </w:rPr>
              <w:t>药物不良反应量表</w:t>
            </w:r>
          </w:p>
        </w:tc>
      </w:tr>
      <w:tr w14:paraId="3CCFD8E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7425C8E">
            <w:pPr>
              <w:widowControl/>
              <w:spacing w:line="240" w:lineRule="exact"/>
              <w:jc w:val="center"/>
              <w:rPr>
                <w:color w:val="000000"/>
                <w:sz w:val="15"/>
                <w:szCs w:val="15"/>
              </w:rPr>
            </w:pPr>
            <w:r>
              <w:rPr>
                <w:rFonts w:hint="eastAsia"/>
                <w:color w:val="000000"/>
                <w:sz w:val="15"/>
                <w:szCs w:val="15"/>
              </w:rPr>
              <w:t>39</w:t>
            </w:r>
          </w:p>
        </w:tc>
        <w:tc>
          <w:tcPr>
            <w:tcW w:w="2409" w:type="dxa"/>
            <w:tcBorders>
              <w:top w:val="nil"/>
              <w:left w:val="nil"/>
              <w:bottom w:val="single" w:color="auto" w:sz="4" w:space="0"/>
              <w:right w:val="single" w:color="auto" w:sz="4" w:space="0"/>
            </w:tcBorders>
            <w:shd w:val="clear" w:color="auto" w:fill="auto"/>
            <w:noWrap/>
            <w:vAlign w:val="center"/>
          </w:tcPr>
          <w:p w14:paraId="7FA25076">
            <w:pPr>
              <w:widowControl/>
              <w:spacing w:line="240" w:lineRule="exact"/>
              <w:jc w:val="center"/>
              <w:rPr>
                <w:color w:val="000000"/>
                <w:sz w:val="15"/>
                <w:szCs w:val="15"/>
              </w:rPr>
            </w:pPr>
            <w:r>
              <w:rPr>
                <w:rFonts w:hint="eastAsia"/>
                <w:color w:val="000000"/>
                <w:sz w:val="15"/>
                <w:szCs w:val="15"/>
              </w:rPr>
              <w:t>痴呆患者抑郁量表</w:t>
            </w:r>
          </w:p>
        </w:tc>
        <w:tc>
          <w:tcPr>
            <w:tcW w:w="441" w:type="dxa"/>
            <w:tcBorders>
              <w:top w:val="nil"/>
              <w:left w:val="nil"/>
              <w:bottom w:val="single" w:color="auto" w:sz="4" w:space="0"/>
              <w:right w:val="single" w:color="auto" w:sz="4" w:space="0"/>
            </w:tcBorders>
            <w:shd w:val="clear" w:color="auto" w:fill="auto"/>
            <w:noWrap/>
            <w:vAlign w:val="center"/>
          </w:tcPr>
          <w:p w14:paraId="6804F3E5">
            <w:pPr>
              <w:widowControl/>
              <w:spacing w:line="240" w:lineRule="exact"/>
              <w:jc w:val="center"/>
              <w:rPr>
                <w:color w:val="000000"/>
                <w:sz w:val="15"/>
                <w:szCs w:val="15"/>
              </w:rPr>
            </w:pPr>
            <w:r>
              <w:rPr>
                <w:rFonts w:hint="eastAsia"/>
                <w:color w:val="000000"/>
                <w:sz w:val="15"/>
                <w:szCs w:val="15"/>
              </w:rPr>
              <w:t>107</w:t>
            </w:r>
          </w:p>
        </w:tc>
        <w:tc>
          <w:tcPr>
            <w:tcW w:w="2678" w:type="dxa"/>
            <w:tcBorders>
              <w:top w:val="nil"/>
              <w:left w:val="nil"/>
              <w:bottom w:val="single" w:color="auto" w:sz="4" w:space="0"/>
              <w:right w:val="single" w:color="auto" w:sz="4" w:space="0"/>
            </w:tcBorders>
            <w:shd w:val="clear" w:color="auto" w:fill="auto"/>
            <w:noWrap/>
            <w:vAlign w:val="center"/>
          </w:tcPr>
          <w:p w14:paraId="7FF01E02">
            <w:pPr>
              <w:widowControl/>
              <w:spacing w:line="240" w:lineRule="exact"/>
              <w:jc w:val="center"/>
              <w:rPr>
                <w:color w:val="000000"/>
                <w:sz w:val="15"/>
                <w:szCs w:val="15"/>
                <w:lang w:eastAsia="zh-CN"/>
              </w:rPr>
            </w:pPr>
            <w:r>
              <w:rPr>
                <w:rFonts w:hint="eastAsia"/>
                <w:color w:val="000000"/>
                <w:sz w:val="15"/>
                <w:szCs w:val="15"/>
                <w:lang w:eastAsia="zh-CN"/>
              </w:rPr>
              <w:t>纽芬兰纪念大学幸福度量表</w:t>
            </w:r>
          </w:p>
        </w:tc>
        <w:tc>
          <w:tcPr>
            <w:tcW w:w="567" w:type="dxa"/>
            <w:tcBorders>
              <w:top w:val="nil"/>
              <w:left w:val="nil"/>
              <w:bottom w:val="single" w:color="auto" w:sz="4" w:space="0"/>
              <w:right w:val="single" w:color="auto" w:sz="4" w:space="0"/>
            </w:tcBorders>
            <w:shd w:val="clear" w:color="auto" w:fill="auto"/>
            <w:noWrap/>
            <w:vAlign w:val="center"/>
          </w:tcPr>
          <w:p w14:paraId="5CDEF6F3">
            <w:pPr>
              <w:widowControl/>
              <w:spacing w:line="240" w:lineRule="exact"/>
              <w:jc w:val="center"/>
              <w:rPr>
                <w:color w:val="000000"/>
                <w:sz w:val="15"/>
                <w:szCs w:val="15"/>
              </w:rPr>
            </w:pPr>
            <w:r>
              <w:rPr>
                <w:rFonts w:hint="eastAsia"/>
                <w:color w:val="000000"/>
                <w:sz w:val="15"/>
                <w:szCs w:val="15"/>
              </w:rPr>
              <w:t>175</w:t>
            </w:r>
          </w:p>
        </w:tc>
        <w:tc>
          <w:tcPr>
            <w:tcW w:w="2551" w:type="dxa"/>
            <w:tcBorders>
              <w:top w:val="nil"/>
              <w:left w:val="nil"/>
              <w:bottom w:val="single" w:color="auto" w:sz="4" w:space="0"/>
              <w:right w:val="single" w:color="auto" w:sz="4" w:space="0"/>
            </w:tcBorders>
            <w:shd w:val="clear" w:color="auto" w:fill="auto"/>
            <w:noWrap/>
            <w:vAlign w:val="center"/>
          </w:tcPr>
          <w:p w14:paraId="7EE46540">
            <w:pPr>
              <w:widowControl/>
              <w:spacing w:line="240" w:lineRule="exact"/>
              <w:jc w:val="center"/>
              <w:rPr>
                <w:color w:val="000000"/>
                <w:sz w:val="15"/>
                <w:szCs w:val="15"/>
              </w:rPr>
            </w:pPr>
            <w:r>
              <w:rPr>
                <w:rFonts w:hint="eastAsia"/>
                <w:color w:val="000000"/>
                <w:sz w:val="15"/>
                <w:szCs w:val="15"/>
              </w:rPr>
              <w:t>伦敦塔</w:t>
            </w:r>
          </w:p>
        </w:tc>
      </w:tr>
      <w:tr w14:paraId="122892E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FF02401">
            <w:pPr>
              <w:widowControl/>
              <w:spacing w:line="240" w:lineRule="exact"/>
              <w:jc w:val="center"/>
              <w:rPr>
                <w:color w:val="000000"/>
                <w:sz w:val="15"/>
                <w:szCs w:val="15"/>
              </w:rPr>
            </w:pPr>
            <w:r>
              <w:rPr>
                <w:rFonts w:hint="eastAsia"/>
                <w:color w:val="000000"/>
                <w:sz w:val="15"/>
                <w:szCs w:val="15"/>
              </w:rPr>
              <w:t>40</w:t>
            </w:r>
          </w:p>
        </w:tc>
        <w:tc>
          <w:tcPr>
            <w:tcW w:w="2409" w:type="dxa"/>
            <w:tcBorders>
              <w:top w:val="nil"/>
              <w:left w:val="nil"/>
              <w:bottom w:val="single" w:color="auto" w:sz="4" w:space="0"/>
              <w:right w:val="single" w:color="auto" w:sz="4" w:space="0"/>
            </w:tcBorders>
            <w:shd w:val="clear" w:color="auto" w:fill="auto"/>
            <w:noWrap/>
            <w:vAlign w:val="center"/>
          </w:tcPr>
          <w:p w14:paraId="42164A14">
            <w:pPr>
              <w:widowControl/>
              <w:spacing w:line="240" w:lineRule="exact"/>
              <w:jc w:val="center"/>
              <w:rPr>
                <w:color w:val="000000"/>
                <w:sz w:val="15"/>
                <w:szCs w:val="15"/>
              </w:rPr>
            </w:pPr>
            <w:r>
              <w:rPr>
                <w:rFonts w:hint="eastAsia"/>
                <w:color w:val="000000"/>
                <w:sz w:val="15"/>
                <w:szCs w:val="15"/>
              </w:rPr>
              <w:t>儿童睡眠习惯问卷</w:t>
            </w:r>
          </w:p>
        </w:tc>
        <w:tc>
          <w:tcPr>
            <w:tcW w:w="441" w:type="dxa"/>
            <w:tcBorders>
              <w:top w:val="nil"/>
              <w:left w:val="nil"/>
              <w:bottom w:val="single" w:color="auto" w:sz="4" w:space="0"/>
              <w:right w:val="single" w:color="auto" w:sz="4" w:space="0"/>
            </w:tcBorders>
            <w:shd w:val="clear" w:color="auto" w:fill="auto"/>
            <w:noWrap/>
            <w:vAlign w:val="center"/>
          </w:tcPr>
          <w:p w14:paraId="42D68E24">
            <w:pPr>
              <w:widowControl/>
              <w:spacing w:line="240" w:lineRule="exact"/>
              <w:jc w:val="center"/>
              <w:rPr>
                <w:color w:val="000000"/>
                <w:sz w:val="15"/>
                <w:szCs w:val="15"/>
              </w:rPr>
            </w:pPr>
            <w:r>
              <w:rPr>
                <w:rFonts w:hint="eastAsia"/>
                <w:color w:val="000000"/>
                <w:sz w:val="15"/>
                <w:szCs w:val="15"/>
              </w:rPr>
              <w:t>108</w:t>
            </w:r>
          </w:p>
        </w:tc>
        <w:tc>
          <w:tcPr>
            <w:tcW w:w="2678" w:type="dxa"/>
            <w:tcBorders>
              <w:top w:val="nil"/>
              <w:left w:val="nil"/>
              <w:bottom w:val="single" w:color="auto" w:sz="4" w:space="0"/>
              <w:right w:val="single" w:color="auto" w:sz="4" w:space="0"/>
            </w:tcBorders>
            <w:shd w:val="clear" w:color="auto" w:fill="auto"/>
            <w:noWrap/>
            <w:vAlign w:val="center"/>
          </w:tcPr>
          <w:p w14:paraId="5E48354B">
            <w:pPr>
              <w:widowControl/>
              <w:spacing w:line="240" w:lineRule="exact"/>
              <w:jc w:val="center"/>
              <w:rPr>
                <w:color w:val="000000"/>
                <w:sz w:val="15"/>
                <w:szCs w:val="15"/>
                <w:lang w:eastAsia="zh-CN"/>
              </w:rPr>
            </w:pPr>
            <w:r>
              <w:rPr>
                <w:rFonts w:hint="eastAsia"/>
                <w:color w:val="000000"/>
                <w:sz w:val="15"/>
                <w:szCs w:val="15"/>
                <w:lang w:eastAsia="zh-CN"/>
              </w:rPr>
              <w:t>护士用简明精神病量表</w:t>
            </w:r>
          </w:p>
        </w:tc>
        <w:tc>
          <w:tcPr>
            <w:tcW w:w="567" w:type="dxa"/>
            <w:tcBorders>
              <w:top w:val="nil"/>
              <w:left w:val="nil"/>
              <w:bottom w:val="single" w:color="auto" w:sz="4" w:space="0"/>
              <w:right w:val="single" w:color="auto" w:sz="4" w:space="0"/>
            </w:tcBorders>
            <w:shd w:val="clear" w:color="auto" w:fill="auto"/>
            <w:noWrap/>
            <w:vAlign w:val="center"/>
          </w:tcPr>
          <w:p w14:paraId="795DD03A">
            <w:pPr>
              <w:widowControl/>
              <w:spacing w:line="240" w:lineRule="exact"/>
              <w:jc w:val="center"/>
              <w:rPr>
                <w:color w:val="000000"/>
                <w:sz w:val="15"/>
                <w:szCs w:val="15"/>
              </w:rPr>
            </w:pPr>
            <w:r>
              <w:rPr>
                <w:rFonts w:hint="eastAsia"/>
                <w:color w:val="000000"/>
                <w:sz w:val="15"/>
                <w:szCs w:val="15"/>
              </w:rPr>
              <w:t>176</w:t>
            </w:r>
          </w:p>
        </w:tc>
        <w:tc>
          <w:tcPr>
            <w:tcW w:w="2551" w:type="dxa"/>
            <w:tcBorders>
              <w:top w:val="nil"/>
              <w:left w:val="nil"/>
              <w:bottom w:val="single" w:color="auto" w:sz="4" w:space="0"/>
              <w:right w:val="single" w:color="auto" w:sz="4" w:space="0"/>
            </w:tcBorders>
            <w:shd w:val="clear" w:color="auto" w:fill="auto"/>
            <w:noWrap/>
            <w:vAlign w:val="center"/>
          </w:tcPr>
          <w:p w14:paraId="2118AF51">
            <w:pPr>
              <w:widowControl/>
              <w:spacing w:line="240" w:lineRule="exact"/>
              <w:jc w:val="center"/>
              <w:rPr>
                <w:color w:val="000000"/>
                <w:sz w:val="15"/>
                <w:szCs w:val="15"/>
              </w:rPr>
            </w:pPr>
            <w:r>
              <w:rPr>
                <w:rFonts w:hint="eastAsia"/>
                <w:color w:val="000000"/>
                <w:sz w:val="15"/>
                <w:szCs w:val="15"/>
              </w:rPr>
              <w:t>UCLA 孤独量表</w:t>
            </w:r>
          </w:p>
        </w:tc>
      </w:tr>
      <w:tr w14:paraId="3A4F021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4D0A792">
            <w:pPr>
              <w:widowControl/>
              <w:spacing w:line="240" w:lineRule="exact"/>
              <w:jc w:val="center"/>
              <w:rPr>
                <w:color w:val="000000"/>
                <w:sz w:val="15"/>
                <w:szCs w:val="15"/>
              </w:rPr>
            </w:pPr>
            <w:r>
              <w:rPr>
                <w:rFonts w:hint="eastAsia"/>
                <w:color w:val="000000"/>
                <w:sz w:val="15"/>
                <w:szCs w:val="15"/>
              </w:rPr>
              <w:t>41</w:t>
            </w:r>
          </w:p>
        </w:tc>
        <w:tc>
          <w:tcPr>
            <w:tcW w:w="2409" w:type="dxa"/>
            <w:tcBorders>
              <w:top w:val="nil"/>
              <w:left w:val="nil"/>
              <w:bottom w:val="single" w:color="auto" w:sz="4" w:space="0"/>
              <w:right w:val="single" w:color="auto" w:sz="4" w:space="0"/>
            </w:tcBorders>
            <w:shd w:val="clear" w:color="auto" w:fill="auto"/>
            <w:noWrap/>
            <w:vAlign w:val="center"/>
          </w:tcPr>
          <w:p w14:paraId="597C957D">
            <w:pPr>
              <w:widowControl/>
              <w:spacing w:line="240" w:lineRule="exact"/>
              <w:jc w:val="center"/>
              <w:rPr>
                <w:color w:val="000000"/>
                <w:sz w:val="15"/>
                <w:szCs w:val="15"/>
                <w:lang w:eastAsia="zh-CN"/>
              </w:rPr>
            </w:pPr>
            <w:r>
              <w:rPr>
                <w:rFonts w:hint="eastAsia"/>
                <w:color w:val="000000"/>
                <w:sz w:val="15"/>
                <w:szCs w:val="15"/>
                <w:lang w:eastAsia="zh-CN"/>
              </w:rPr>
              <w:t>感觉统合能力发展评定量表</w:t>
            </w:r>
          </w:p>
        </w:tc>
        <w:tc>
          <w:tcPr>
            <w:tcW w:w="441" w:type="dxa"/>
            <w:tcBorders>
              <w:top w:val="nil"/>
              <w:left w:val="nil"/>
              <w:bottom w:val="single" w:color="auto" w:sz="4" w:space="0"/>
              <w:right w:val="single" w:color="auto" w:sz="4" w:space="0"/>
            </w:tcBorders>
            <w:shd w:val="clear" w:color="auto" w:fill="auto"/>
            <w:noWrap/>
            <w:vAlign w:val="center"/>
          </w:tcPr>
          <w:p w14:paraId="42F4918B">
            <w:pPr>
              <w:widowControl/>
              <w:spacing w:line="240" w:lineRule="exact"/>
              <w:jc w:val="center"/>
              <w:rPr>
                <w:color w:val="000000"/>
                <w:sz w:val="15"/>
                <w:szCs w:val="15"/>
              </w:rPr>
            </w:pPr>
            <w:r>
              <w:rPr>
                <w:rFonts w:hint="eastAsia"/>
                <w:color w:val="000000"/>
                <w:sz w:val="15"/>
                <w:szCs w:val="15"/>
              </w:rPr>
              <w:t>109</w:t>
            </w:r>
          </w:p>
        </w:tc>
        <w:tc>
          <w:tcPr>
            <w:tcW w:w="2678" w:type="dxa"/>
            <w:tcBorders>
              <w:top w:val="nil"/>
              <w:left w:val="nil"/>
              <w:bottom w:val="single" w:color="auto" w:sz="4" w:space="0"/>
              <w:right w:val="single" w:color="auto" w:sz="4" w:space="0"/>
            </w:tcBorders>
            <w:shd w:val="clear" w:color="auto" w:fill="auto"/>
            <w:noWrap/>
            <w:vAlign w:val="center"/>
          </w:tcPr>
          <w:p w14:paraId="3019BCF3">
            <w:pPr>
              <w:widowControl/>
              <w:spacing w:line="240" w:lineRule="exact"/>
              <w:jc w:val="center"/>
              <w:rPr>
                <w:color w:val="000000"/>
                <w:sz w:val="15"/>
                <w:szCs w:val="15"/>
              </w:rPr>
            </w:pPr>
            <w:r>
              <w:rPr>
                <w:rFonts w:hint="eastAsia"/>
                <w:color w:val="000000"/>
                <w:sz w:val="15"/>
                <w:szCs w:val="15"/>
              </w:rPr>
              <w:t>大五人格量表</w:t>
            </w:r>
          </w:p>
        </w:tc>
        <w:tc>
          <w:tcPr>
            <w:tcW w:w="567" w:type="dxa"/>
            <w:tcBorders>
              <w:top w:val="nil"/>
              <w:left w:val="nil"/>
              <w:bottom w:val="single" w:color="auto" w:sz="4" w:space="0"/>
              <w:right w:val="single" w:color="auto" w:sz="4" w:space="0"/>
            </w:tcBorders>
            <w:shd w:val="clear" w:color="auto" w:fill="auto"/>
            <w:noWrap/>
            <w:vAlign w:val="center"/>
          </w:tcPr>
          <w:p w14:paraId="337CD281">
            <w:pPr>
              <w:widowControl/>
              <w:spacing w:line="240" w:lineRule="exact"/>
              <w:jc w:val="center"/>
              <w:rPr>
                <w:color w:val="000000"/>
                <w:sz w:val="15"/>
                <w:szCs w:val="15"/>
              </w:rPr>
            </w:pPr>
            <w:r>
              <w:rPr>
                <w:rFonts w:hint="eastAsia"/>
                <w:color w:val="000000"/>
                <w:sz w:val="15"/>
                <w:szCs w:val="15"/>
              </w:rPr>
              <w:t>177</w:t>
            </w:r>
          </w:p>
        </w:tc>
        <w:tc>
          <w:tcPr>
            <w:tcW w:w="2551" w:type="dxa"/>
            <w:tcBorders>
              <w:top w:val="nil"/>
              <w:left w:val="nil"/>
              <w:bottom w:val="single" w:color="auto" w:sz="4" w:space="0"/>
              <w:right w:val="single" w:color="auto" w:sz="4" w:space="0"/>
            </w:tcBorders>
            <w:shd w:val="clear" w:color="auto" w:fill="auto"/>
            <w:noWrap/>
            <w:vAlign w:val="center"/>
          </w:tcPr>
          <w:p w14:paraId="5B08F300">
            <w:pPr>
              <w:widowControl/>
              <w:spacing w:line="240" w:lineRule="exact"/>
              <w:jc w:val="center"/>
              <w:rPr>
                <w:color w:val="000000"/>
                <w:sz w:val="15"/>
                <w:szCs w:val="15"/>
                <w:lang w:eastAsia="zh-CN"/>
              </w:rPr>
            </w:pPr>
            <w:r>
              <w:rPr>
                <w:rFonts w:hint="eastAsia"/>
                <w:color w:val="000000"/>
                <w:sz w:val="15"/>
                <w:szCs w:val="15"/>
                <w:lang w:eastAsia="zh-CN"/>
              </w:rPr>
              <w:t>帕金森病统一评分量表</w:t>
            </w:r>
          </w:p>
        </w:tc>
      </w:tr>
      <w:tr w14:paraId="46D2D1A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D94625E">
            <w:pPr>
              <w:widowControl/>
              <w:spacing w:line="240" w:lineRule="exact"/>
              <w:jc w:val="center"/>
              <w:rPr>
                <w:color w:val="000000"/>
                <w:sz w:val="15"/>
                <w:szCs w:val="15"/>
              </w:rPr>
            </w:pPr>
            <w:r>
              <w:rPr>
                <w:rFonts w:hint="eastAsia"/>
                <w:color w:val="000000"/>
                <w:sz w:val="15"/>
                <w:szCs w:val="15"/>
              </w:rPr>
              <w:t>42</w:t>
            </w:r>
          </w:p>
        </w:tc>
        <w:tc>
          <w:tcPr>
            <w:tcW w:w="2409" w:type="dxa"/>
            <w:tcBorders>
              <w:top w:val="nil"/>
              <w:left w:val="nil"/>
              <w:bottom w:val="single" w:color="auto" w:sz="4" w:space="0"/>
              <w:right w:val="single" w:color="auto" w:sz="4" w:space="0"/>
            </w:tcBorders>
            <w:shd w:val="clear" w:color="auto" w:fill="auto"/>
            <w:noWrap/>
            <w:vAlign w:val="center"/>
          </w:tcPr>
          <w:p w14:paraId="1F3A74CA">
            <w:pPr>
              <w:widowControl/>
              <w:spacing w:line="240" w:lineRule="exact"/>
              <w:jc w:val="center"/>
              <w:rPr>
                <w:color w:val="000000"/>
                <w:sz w:val="15"/>
                <w:szCs w:val="15"/>
              </w:rPr>
            </w:pPr>
            <w:r>
              <w:rPr>
                <w:rFonts w:hint="eastAsia"/>
                <w:color w:val="000000"/>
                <w:sz w:val="15"/>
                <w:szCs w:val="15"/>
              </w:rPr>
              <w:t>中学生应对方式</w:t>
            </w:r>
          </w:p>
        </w:tc>
        <w:tc>
          <w:tcPr>
            <w:tcW w:w="441" w:type="dxa"/>
            <w:tcBorders>
              <w:top w:val="nil"/>
              <w:left w:val="nil"/>
              <w:bottom w:val="single" w:color="auto" w:sz="4" w:space="0"/>
              <w:right w:val="single" w:color="auto" w:sz="4" w:space="0"/>
            </w:tcBorders>
            <w:shd w:val="clear" w:color="auto" w:fill="auto"/>
            <w:noWrap/>
            <w:vAlign w:val="center"/>
          </w:tcPr>
          <w:p w14:paraId="36CA9969">
            <w:pPr>
              <w:widowControl/>
              <w:spacing w:line="240" w:lineRule="exact"/>
              <w:jc w:val="center"/>
              <w:rPr>
                <w:color w:val="000000"/>
                <w:sz w:val="15"/>
                <w:szCs w:val="15"/>
              </w:rPr>
            </w:pPr>
            <w:r>
              <w:rPr>
                <w:rFonts w:hint="eastAsia"/>
                <w:color w:val="000000"/>
                <w:sz w:val="15"/>
                <w:szCs w:val="15"/>
              </w:rPr>
              <w:t>110</w:t>
            </w:r>
          </w:p>
        </w:tc>
        <w:tc>
          <w:tcPr>
            <w:tcW w:w="2678" w:type="dxa"/>
            <w:tcBorders>
              <w:top w:val="nil"/>
              <w:left w:val="nil"/>
              <w:bottom w:val="single" w:color="auto" w:sz="4" w:space="0"/>
              <w:right w:val="single" w:color="auto" w:sz="4" w:space="0"/>
            </w:tcBorders>
            <w:shd w:val="clear" w:color="auto" w:fill="auto"/>
            <w:noWrap/>
            <w:vAlign w:val="center"/>
          </w:tcPr>
          <w:p w14:paraId="48C23043">
            <w:pPr>
              <w:widowControl/>
              <w:spacing w:line="240" w:lineRule="exact"/>
              <w:jc w:val="center"/>
              <w:rPr>
                <w:color w:val="000000"/>
                <w:sz w:val="15"/>
                <w:szCs w:val="15"/>
                <w:lang w:eastAsia="zh-CN"/>
              </w:rPr>
            </w:pPr>
            <w:r>
              <w:rPr>
                <w:rFonts w:hint="eastAsia"/>
                <w:color w:val="000000"/>
                <w:sz w:val="15"/>
                <w:szCs w:val="15"/>
                <w:lang w:eastAsia="zh-CN"/>
              </w:rPr>
              <w:t>护士用自杀风险评估量表</w:t>
            </w:r>
          </w:p>
        </w:tc>
        <w:tc>
          <w:tcPr>
            <w:tcW w:w="567" w:type="dxa"/>
            <w:tcBorders>
              <w:top w:val="nil"/>
              <w:left w:val="nil"/>
              <w:bottom w:val="single" w:color="auto" w:sz="4" w:space="0"/>
              <w:right w:val="single" w:color="auto" w:sz="4" w:space="0"/>
            </w:tcBorders>
            <w:shd w:val="clear" w:color="auto" w:fill="auto"/>
            <w:noWrap/>
            <w:vAlign w:val="center"/>
          </w:tcPr>
          <w:p w14:paraId="30453B78">
            <w:pPr>
              <w:widowControl/>
              <w:spacing w:line="240" w:lineRule="exact"/>
              <w:jc w:val="center"/>
              <w:rPr>
                <w:color w:val="000000"/>
                <w:sz w:val="15"/>
                <w:szCs w:val="15"/>
              </w:rPr>
            </w:pPr>
            <w:r>
              <w:rPr>
                <w:rFonts w:hint="eastAsia"/>
                <w:color w:val="000000"/>
                <w:sz w:val="15"/>
                <w:szCs w:val="15"/>
              </w:rPr>
              <w:t>178</w:t>
            </w:r>
          </w:p>
        </w:tc>
        <w:tc>
          <w:tcPr>
            <w:tcW w:w="2551" w:type="dxa"/>
            <w:tcBorders>
              <w:top w:val="nil"/>
              <w:left w:val="nil"/>
              <w:bottom w:val="single" w:color="auto" w:sz="4" w:space="0"/>
              <w:right w:val="single" w:color="auto" w:sz="4" w:space="0"/>
            </w:tcBorders>
            <w:shd w:val="clear" w:color="auto" w:fill="auto"/>
            <w:noWrap/>
            <w:vAlign w:val="center"/>
          </w:tcPr>
          <w:p w14:paraId="0BEEE038">
            <w:pPr>
              <w:widowControl/>
              <w:spacing w:line="240" w:lineRule="exact"/>
              <w:jc w:val="center"/>
              <w:rPr>
                <w:color w:val="000000"/>
                <w:sz w:val="15"/>
                <w:szCs w:val="15"/>
                <w:lang w:eastAsia="zh-CN"/>
              </w:rPr>
            </w:pPr>
            <w:r>
              <w:rPr>
                <w:rFonts w:hint="eastAsia"/>
                <w:color w:val="000000"/>
                <w:sz w:val="15"/>
                <w:szCs w:val="15"/>
                <w:lang w:eastAsia="zh-CN"/>
              </w:rPr>
              <w:t>大学生心理健康评定量表</w:t>
            </w:r>
          </w:p>
        </w:tc>
      </w:tr>
      <w:tr w14:paraId="1E45589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CE1D201">
            <w:pPr>
              <w:widowControl/>
              <w:spacing w:line="240" w:lineRule="exact"/>
              <w:jc w:val="center"/>
              <w:rPr>
                <w:color w:val="000000"/>
                <w:sz w:val="15"/>
                <w:szCs w:val="15"/>
              </w:rPr>
            </w:pPr>
            <w:r>
              <w:rPr>
                <w:rFonts w:hint="eastAsia"/>
                <w:color w:val="000000"/>
                <w:sz w:val="15"/>
                <w:szCs w:val="15"/>
              </w:rPr>
              <w:t>43</w:t>
            </w:r>
          </w:p>
        </w:tc>
        <w:tc>
          <w:tcPr>
            <w:tcW w:w="2409" w:type="dxa"/>
            <w:tcBorders>
              <w:top w:val="nil"/>
              <w:left w:val="nil"/>
              <w:bottom w:val="single" w:color="auto" w:sz="4" w:space="0"/>
              <w:right w:val="single" w:color="auto" w:sz="4" w:space="0"/>
            </w:tcBorders>
            <w:shd w:val="clear" w:color="auto" w:fill="auto"/>
            <w:noWrap/>
            <w:vAlign w:val="center"/>
          </w:tcPr>
          <w:p w14:paraId="707493C0">
            <w:pPr>
              <w:widowControl/>
              <w:spacing w:line="240" w:lineRule="exact"/>
              <w:jc w:val="center"/>
              <w:rPr>
                <w:color w:val="000000"/>
                <w:sz w:val="15"/>
                <w:szCs w:val="15"/>
              </w:rPr>
            </w:pPr>
            <w:r>
              <w:rPr>
                <w:rFonts w:hint="eastAsia"/>
                <w:color w:val="000000"/>
                <w:sz w:val="15"/>
                <w:szCs w:val="15"/>
              </w:rPr>
              <w:t>痴呆残疾评估</w:t>
            </w:r>
          </w:p>
        </w:tc>
        <w:tc>
          <w:tcPr>
            <w:tcW w:w="441" w:type="dxa"/>
            <w:tcBorders>
              <w:top w:val="nil"/>
              <w:left w:val="nil"/>
              <w:bottom w:val="single" w:color="auto" w:sz="4" w:space="0"/>
              <w:right w:val="single" w:color="auto" w:sz="4" w:space="0"/>
            </w:tcBorders>
            <w:shd w:val="clear" w:color="auto" w:fill="auto"/>
            <w:noWrap/>
            <w:vAlign w:val="center"/>
          </w:tcPr>
          <w:p w14:paraId="26882C88">
            <w:pPr>
              <w:widowControl/>
              <w:spacing w:line="240" w:lineRule="exact"/>
              <w:jc w:val="center"/>
              <w:rPr>
                <w:color w:val="000000"/>
                <w:sz w:val="15"/>
                <w:szCs w:val="15"/>
              </w:rPr>
            </w:pPr>
            <w:r>
              <w:rPr>
                <w:rFonts w:hint="eastAsia"/>
                <w:color w:val="000000"/>
                <w:sz w:val="15"/>
                <w:szCs w:val="15"/>
              </w:rPr>
              <w:t>111</w:t>
            </w:r>
          </w:p>
        </w:tc>
        <w:tc>
          <w:tcPr>
            <w:tcW w:w="2678" w:type="dxa"/>
            <w:tcBorders>
              <w:top w:val="nil"/>
              <w:left w:val="nil"/>
              <w:bottom w:val="single" w:color="auto" w:sz="4" w:space="0"/>
              <w:right w:val="single" w:color="auto" w:sz="4" w:space="0"/>
            </w:tcBorders>
            <w:shd w:val="clear" w:color="auto" w:fill="auto"/>
            <w:noWrap/>
            <w:vAlign w:val="center"/>
          </w:tcPr>
          <w:p w14:paraId="0F37C09F">
            <w:pPr>
              <w:widowControl/>
              <w:spacing w:line="240" w:lineRule="exact"/>
              <w:jc w:val="center"/>
              <w:rPr>
                <w:color w:val="000000"/>
                <w:sz w:val="15"/>
                <w:szCs w:val="15"/>
                <w:lang w:eastAsia="zh-CN"/>
              </w:rPr>
            </w:pPr>
            <w:r>
              <w:rPr>
                <w:rFonts w:hint="eastAsia"/>
                <w:color w:val="000000"/>
                <w:sz w:val="15"/>
                <w:szCs w:val="15"/>
                <w:lang w:eastAsia="zh-CN"/>
              </w:rPr>
              <w:t>国立卫生研究院卒中量表</w:t>
            </w:r>
          </w:p>
        </w:tc>
        <w:tc>
          <w:tcPr>
            <w:tcW w:w="567" w:type="dxa"/>
            <w:tcBorders>
              <w:top w:val="nil"/>
              <w:left w:val="nil"/>
              <w:bottom w:val="single" w:color="auto" w:sz="4" w:space="0"/>
              <w:right w:val="single" w:color="auto" w:sz="4" w:space="0"/>
            </w:tcBorders>
            <w:shd w:val="clear" w:color="auto" w:fill="auto"/>
            <w:noWrap/>
            <w:vAlign w:val="center"/>
          </w:tcPr>
          <w:p w14:paraId="1C264F2E">
            <w:pPr>
              <w:widowControl/>
              <w:spacing w:line="240" w:lineRule="exact"/>
              <w:jc w:val="center"/>
              <w:rPr>
                <w:color w:val="000000"/>
                <w:sz w:val="15"/>
                <w:szCs w:val="15"/>
              </w:rPr>
            </w:pPr>
            <w:r>
              <w:rPr>
                <w:rFonts w:hint="eastAsia"/>
                <w:color w:val="000000"/>
                <w:sz w:val="15"/>
                <w:szCs w:val="15"/>
              </w:rPr>
              <w:t>179</w:t>
            </w:r>
          </w:p>
        </w:tc>
        <w:tc>
          <w:tcPr>
            <w:tcW w:w="2551" w:type="dxa"/>
            <w:tcBorders>
              <w:top w:val="nil"/>
              <w:left w:val="nil"/>
              <w:bottom w:val="single" w:color="auto" w:sz="4" w:space="0"/>
              <w:right w:val="single" w:color="auto" w:sz="4" w:space="0"/>
            </w:tcBorders>
            <w:shd w:val="clear" w:color="auto" w:fill="auto"/>
            <w:noWrap/>
            <w:vAlign w:val="center"/>
          </w:tcPr>
          <w:p w14:paraId="521CE290">
            <w:pPr>
              <w:widowControl/>
              <w:spacing w:line="240" w:lineRule="exact"/>
              <w:jc w:val="center"/>
              <w:rPr>
                <w:color w:val="000000"/>
                <w:sz w:val="15"/>
                <w:szCs w:val="15"/>
                <w:lang w:eastAsia="zh-CN"/>
              </w:rPr>
            </w:pPr>
            <w:r>
              <w:rPr>
                <w:rFonts w:hint="eastAsia"/>
                <w:color w:val="000000"/>
                <w:sz w:val="15"/>
                <w:szCs w:val="15"/>
                <w:lang w:eastAsia="zh-CN"/>
              </w:rPr>
              <w:t>综合生理心理社会健康评估量表</w:t>
            </w:r>
          </w:p>
        </w:tc>
      </w:tr>
      <w:tr w14:paraId="3DDDDF29">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44AB215">
            <w:pPr>
              <w:widowControl/>
              <w:spacing w:line="240" w:lineRule="exact"/>
              <w:jc w:val="center"/>
              <w:rPr>
                <w:color w:val="000000"/>
                <w:sz w:val="15"/>
                <w:szCs w:val="15"/>
              </w:rPr>
            </w:pPr>
            <w:r>
              <w:rPr>
                <w:rFonts w:hint="eastAsia"/>
                <w:color w:val="000000"/>
                <w:sz w:val="15"/>
                <w:szCs w:val="15"/>
              </w:rPr>
              <w:t>44</w:t>
            </w:r>
          </w:p>
        </w:tc>
        <w:tc>
          <w:tcPr>
            <w:tcW w:w="2409" w:type="dxa"/>
            <w:tcBorders>
              <w:top w:val="nil"/>
              <w:left w:val="nil"/>
              <w:bottom w:val="single" w:color="auto" w:sz="4" w:space="0"/>
              <w:right w:val="single" w:color="auto" w:sz="4" w:space="0"/>
            </w:tcBorders>
            <w:shd w:val="clear" w:color="auto" w:fill="auto"/>
            <w:noWrap/>
            <w:vAlign w:val="center"/>
          </w:tcPr>
          <w:p w14:paraId="0DBFF91E">
            <w:pPr>
              <w:widowControl/>
              <w:spacing w:line="240" w:lineRule="exact"/>
              <w:jc w:val="center"/>
              <w:rPr>
                <w:color w:val="000000"/>
                <w:sz w:val="15"/>
                <w:szCs w:val="15"/>
                <w:lang w:eastAsia="zh-CN"/>
              </w:rPr>
            </w:pPr>
            <w:r>
              <w:rPr>
                <w:rFonts w:hint="eastAsia"/>
                <w:color w:val="000000"/>
                <w:sz w:val="15"/>
                <w:szCs w:val="15"/>
                <w:lang w:eastAsia="zh-CN"/>
              </w:rPr>
              <w:t>儿童汉语阅读障碍量表</w:t>
            </w:r>
          </w:p>
        </w:tc>
        <w:tc>
          <w:tcPr>
            <w:tcW w:w="441" w:type="dxa"/>
            <w:tcBorders>
              <w:top w:val="nil"/>
              <w:left w:val="nil"/>
              <w:bottom w:val="single" w:color="auto" w:sz="4" w:space="0"/>
              <w:right w:val="single" w:color="auto" w:sz="4" w:space="0"/>
            </w:tcBorders>
            <w:shd w:val="clear" w:color="auto" w:fill="auto"/>
            <w:noWrap/>
            <w:vAlign w:val="center"/>
          </w:tcPr>
          <w:p w14:paraId="7C687549">
            <w:pPr>
              <w:widowControl/>
              <w:spacing w:line="240" w:lineRule="exact"/>
              <w:jc w:val="center"/>
              <w:rPr>
                <w:color w:val="000000"/>
                <w:sz w:val="15"/>
                <w:szCs w:val="15"/>
              </w:rPr>
            </w:pPr>
            <w:r>
              <w:rPr>
                <w:rFonts w:hint="eastAsia"/>
                <w:color w:val="000000"/>
                <w:sz w:val="15"/>
                <w:szCs w:val="15"/>
              </w:rPr>
              <w:t>112</w:t>
            </w:r>
          </w:p>
        </w:tc>
        <w:tc>
          <w:tcPr>
            <w:tcW w:w="2678" w:type="dxa"/>
            <w:tcBorders>
              <w:top w:val="nil"/>
              <w:left w:val="nil"/>
              <w:bottom w:val="single" w:color="auto" w:sz="4" w:space="0"/>
              <w:right w:val="single" w:color="auto" w:sz="4" w:space="0"/>
            </w:tcBorders>
            <w:shd w:val="clear" w:color="auto" w:fill="auto"/>
            <w:noWrap/>
            <w:vAlign w:val="center"/>
          </w:tcPr>
          <w:p w14:paraId="56EC9092">
            <w:pPr>
              <w:widowControl/>
              <w:spacing w:line="240" w:lineRule="exact"/>
              <w:jc w:val="center"/>
              <w:rPr>
                <w:color w:val="000000"/>
                <w:sz w:val="15"/>
                <w:szCs w:val="15"/>
                <w:lang w:eastAsia="zh-CN"/>
              </w:rPr>
            </w:pPr>
            <w:r>
              <w:rPr>
                <w:rFonts w:hint="eastAsia"/>
                <w:color w:val="000000"/>
                <w:sz w:val="15"/>
                <w:szCs w:val="15"/>
                <w:lang w:eastAsia="zh-CN"/>
              </w:rPr>
              <w:t>帕金森非运动症状筛查量表</w:t>
            </w:r>
          </w:p>
        </w:tc>
        <w:tc>
          <w:tcPr>
            <w:tcW w:w="567" w:type="dxa"/>
            <w:tcBorders>
              <w:top w:val="nil"/>
              <w:left w:val="nil"/>
              <w:bottom w:val="single" w:color="auto" w:sz="4" w:space="0"/>
              <w:right w:val="single" w:color="auto" w:sz="4" w:space="0"/>
            </w:tcBorders>
            <w:shd w:val="clear" w:color="auto" w:fill="auto"/>
            <w:noWrap/>
            <w:vAlign w:val="center"/>
          </w:tcPr>
          <w:p w14:paraId="46126BCE">
            <w:pPr>
              <w:widowControl/>
              <w:spacing w:line="240" w:lineRule="exact"/>
              <w:jc w:val="center"/>
              <w:rPr>
                <w:color w:val="000000"/>
                <w:sz w:val="15"/>
                <w:szCs w:val="15"/>
              </w:rPr>
            </w:pPr>
            <w:r>
              <w:rPr>
                <w:rFonts w:hint="eastAsia"/>
                <w:color w:val="000000"/>
                <w:sz w:val="15"/>
                <w:szCs w:val="15"/>
              </w:rPr>
              <w:t>180</w:t>
            </w:r>
          </w:p>
        </w:tc>
        <w:tc>
          <w:tcPr>
            <w:tcW w:w="2551" w:type="dxa"/>
            <w:tcBorders>
              <w:top w:val="nil"/>
              <w:left w:val="nil"/>
              <w:bottom w:val="single" w:color="auto" w:sz="4" w:space="0"/>
              <w:right w:val="single" w:color="auto" w:sz="4" w:space="0"/>
            </w:tcBorders>
            <w:shd w:val="clear" w:color="auto" w:fill="auto"/>
            <w:noWrap/>
            <w:vAlign w:val="center"/>
          </w:tcPr>
          <w:p w14:paraId="67408FE1">
            <w:pPr>
              <w:widowControl/>
              <w:spacing w:line="240" w:lineRule="exact"/>
              <w:jc w:val="center"/>
              <w:rPr>
                <w:color w:val="000000"/>
                <w:sz w:val="15"/>
                <w:szCs w:val="15"/>
                <w:lang w:eastAsia="zh-CN"/>
              </w:rPr>
            </w:pPr>
            <w:r>
              <w:rPr>
                <w:rFonts w:hint="eastAsia"/>
                <w:color w:val="000000"/>
                <w:sz w:val="15"/>
                <w:szCs w:val="15"/>
                <w:lang w:eastAsia="zh-CN"/>
              </w:rPr>
              <w:t>威斯康星卡片分类测验</w:t>
            </w:r>
          </w:p>
        </w:tc>
      </w:tr>
      <w:tr w14:paraId="5CC3EB1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2AEB3DE">
            <w:pPr>
              <w:widowControl/>
              <w:spacing w:line="240" w:lineRule="exact"/>
              <w:jc w:val="center"/>
              <w:rPr>
                <w:color w:val="000000"/>
                <w:sz w:val="15"/>
                <w:szCs w:val="15"/>
              </w:rPr>
            </w:pPr>
            <w:r>
              <w:rPr>
                <w:rFonts w:hint="eastAsia"/>
                <w:color w:val="000000"/>
                <w:sz w:val="15"/>
                <w:szCs w:val="15"/>
              </w:rPr>
              <w:t>45</w:t>
            </w:r>
          </w:p>
        </w:tc>
        <w:tc>
          <w:tcPr>
            <w:tcW w:w="2409" w:type="dxa"/>
            <w:tcBorders>
              <w:top w:val="nil"/>
              <w:left w:val="nil"/>
              <w:bottom w:val="single" w:color="auto" w:sz="4" w:space="0"/>
              <w:right w:val="single" w:color="auto" w:sz="4" w:space="0"/>
            </w:tcBorders>
            <w:shd w:val="clear" w:color="auto" w:fill="auto"/>
            <w:noWrap/>
            <w:vAlign w:val="center"/>
          </w:tcPr>
          <w:p w14:paraId="297B7A6F">
            <w:pPr>
              <w:widowControl/>
              <w:spacing w:line="240" w:lineRule="exact"/>
              <w:jc w:val="center"/>
              <w:rPr>
                <w:color w:val="000000"/>
                <w:sz w:val="15"/>
                <w:szCs w:val="15"/>
              </w:rPr>
            </w:pPr>
            <w:r>
              <w:rPr>
                <w:rFonts w:hint="eastAsia"/>
                <w:color w:val="000000"/>
                <w:sz w:val="15"/>
                <w:szCs w:val="15"/>
              </w:rPr>
              <w:t>防御机制问卷</w:t>
            </w:r>
          </w:p>
        </w:tc>
        <w:tc>
          <w:tcPr>
            <w:tcW w:w="441" w:type="dxa"/>
            <w:tcBorders>
              <w:top w:val="nil"/>
              <w:left w:val="nil"/>
              <w:bottom w:val="single" w:color="auto" w:sz="4" w:space="0"/>
              <w:right w:val="single" w:color="auto" w:sz="4" w:space="0"/>
            </w:tcBorders>
            <w:shd w:val="clear" w:color="auto" w:fill="auto"/>
            <w:noWrap/>
            <w:vAlign w:val="center"/>
          </w:tcPr>
          <w:p w14:paraId="5C3DDEED">
            <w:pPr>
              <w:widowControl/>
              <w:spacing w:line="240" w:lineRule="exact"/>
              <w:jc w:val="center"/>
              <w:rPr>
                <w:color w:val="000000"/>
                <w:sz w:val="15"/>
                <w:szCs w:val="15"/>
              </w:rPr>
            </w:pPr>
            <w:r>
              <w:rPr>
                <w:rFonts w:hint="eastAsia"/>
                <w:color w:val="000000"/>
                <w:sz w:val="15"/>
                <w:szCs w:val="15"/>
              </w:rPr>
              <w:t>113</w:t>
            </w:r>
          </w:p>
        </w:tc>
        <w:tc>
          <w:tcPr>
            <w:tcW w:w="2678" w:type="dxa"/>
            <w:tcBorders>
              <w:top w:val="nil"/>
              <w:left w:val="nil"/>
              <w:bottom w:val="single" w:color="auto" w:sz="4" w:space="0"/>
              <w:right w:val="single" w:color="auto" w:sz="4" w:space="0"/>
            </w:tcBorders>
            <w:shd w:val="clear" w:color="auto" w:fill="auto"/>
            <w:noWrap/>
            <w:vAlign w:val="center"/>
          </w:tcPr>
          <w:p w14:paraId="159B74D6">
            <w:pPr>
              <w:widowControl/>
              <w:spacing w:line="240" w:lineRule="exact"/>
              <w:jc w:val="center"/>
              <w:rPr>
                <w:color w:val="000000"/>
                <w:sz w:val="15"/>
                <w:szCs w:val="15"/>
              </w:rPr>
            </w:pPr>
            <w:r>
              <w:rPr>
                <w:rFonts w:hint="eastAsia"/>
                <w:color w:val="000000"/>
                <w:sz w:val="15"/>
                <w:szCs w:val="15"/>
              </w:rPr>
              <w:t>精神护理观察量表</w:t>
            </w:r>
          </w:p>
        </w:tc>
        <w:tc>
          <w:tcPr>
            <w:tcW w:w="567" w:type="dxa"/>
            <w:tcBorders>
              <w:top w:val="nil"/>
              <w:left w:val="nil"/>
              <w:bottom w:val="single" w:color="auto" w:sz="4" w:space="0"/>
              <w:right w:val="single" w:color="auto" w:sz="4" w:space="0"/>
            </w:tcBorders>
            <w:shd w:val="clear" w:color="auto" w:fill="auto"/>
            <w:noWrap/>
            <w:vAlign w:val="center"/>
          </w:tcPr>
          <w:p w14:paraId="73E54A5F">
            <w:pPr>
              <w:widowControl/>
              <w:spacing w:line="240" w:lineRule="exact"/>
              <w:jc w:val="center"/>
              <w:rPr>
                <w:color w:val="000000"/>
                <w:sz w:val="15"/>
                <w:szCs w:val="15"/>
              </w:rPr>
            </w:pPr>
            <w:r>
              <w:rPr>
                <w:rFonts w:hint="eastAsia"/>
                <w:color w:val="000000"/>
                <w:sz w:val="15"/>
                <w:szCs w:val="15"/>
              </w:rPr>
              <w:t>181</w:t>
            </w:r>
          </w:p>
        </w:tc>
        <w:tc>
          <w:tcPr>
            <w:tcW w:w="2551" w:type="dxa"/>
            <w:tcBorders>
              <w:top w:val="nil"/>
              <w:left w:val="nil"/>
              <w:bottom w:val="single" w:color="auto" w:sz="4" w:space="0"/>
              <w:right w:val="single" w:color="auto" w:sz="4" w:space="0"/>
            </w:tcBorders>
            <w:shd w:val="clear" w:color="auto" w:fill="auto"/>
            <w:noWrap/>
            <w:vAlign w:val="center"/>
          </w:tcPr>
          <w:p w14:paraId="35EA9808">
            <w:pPr>
              <w:widowControl/>
              <w:spacing w:line="240" w:lineRule="exact"/>
              <w:jc w:val="center"/>
              <w:rPr>
                <w:color w:val="000000"/>
                <w:sz w:val="15"/>
                <w:szCs w:val="15"/>
              </w:rPr>
            </w:pPr>
            <w:r>
              <w:rPr>
                <w:rFonts w:hint="eastAsia"/>
                <w:color w:val="000000"/>
                <w:sz w:val="15"/>
                <w:szCs w:val="15"/>
              </w:rPr>
              <w:t>改良的 Webster 评分</w:t>
            </w:r>
          </w:p>
        </w:tc>
      </w:tr>
      <w:tr w14:paraId="6D0D081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2751DFE">
            <w:pPr>
              <w:widowControl/>
              <w:spacing w:line="240" w:lineRule="exact"/>
              <w:jc w:val="center"/>
              <w:rPr>
                <w:color w:val="000000"/>
                <w:sz w:val="15"/>
                <w:szCs w:val="15"/>
              </w:rPr>
            </w:pPr>
            <w:r>
              <w:rPr>
                <w:rFonts w:hint="eastAsia"/>
                <w:color w:val="000000"/>
                <w:sz w:val="15"/>
                <w:szCs w:val="15"/>
              </w:rPr>
              <w:t>46</w:t>
            </w:r>
          </w:p>
        </w:tc>
        <w:tc>
          <w:tcPr>
            <w:tcW w:w="2409" w:type="dxa"/>
            <w:tcBorders>
              <w:top w:val="nil"/>
              <w:left w:val="nil"/>
              <w:bottom w:val="single" w:color="auto" w:sz="4" w:space="0"/>
              <w:right w:val="single" w:color="auto" w:sz="4" w:space="0"/>
            </w:tcBorders>
            <w:shd w:val="clear" w:color="auto" w:fill="auto"/>
            <w:noWrap/>
            <w:vAlign w:val="center"/>
          </w:tcPr>
          <w:p w14:paraId="1C2728C2">
            <w:pPr>
              <w:widowControl/>
              <w:spacing w:line="240" w:lineRule="exact"/>
              <w:jc w:val="center"/>
              <w:rPr>
                <w:color w:val="000000"/>
                <w:sz w:val="15"/>
                <w:szCs w:val="15"/>
                <w:lang w:eastAsia="zh-CN"/>
              </w:rPr>
            </w:pPr>
            <w:r>
              <w:rPr>
                <w:rFonts w:hint="eastAsia"/>
                <w:color w:val="000000"/>
                <w:sz w:val="15"/>
                <w:szCs w:val="15"/>
                <w:lang w:eastAsia="zh-CN"/>
              </w:rPr>
              <w:t>儿童抑郁障碍自评量表</w:t>
            </w:r>
          </w:p>
        </w:tc>
        <w:tc>
          <w:tcPr>
            <w:tcW w:w="441" w:type="dxa"/>
            <w:tcBorders>
              <w:top w:val="nil"/>
              <w:left w:val="nil"/>
              <w:bottom w:val="single" w:color="auto" w:sz="4" w:space="0"/>
              <w:right w:val="single" w:color="auto" w:sz="4" w:space="0"/>
            </w:tcBorders>
            <w:shd w:val="clear" w:color="auto" w:fill="auto"/>
            <w:noWrap/>
            <w:vAlign w:val="center"/>
          </w:tcPr>
          <w:p w14:paraId="5AB79D9D">
            <w:pPr>
              <w:widowControl/>
              <w:spacing w:line="240" w:lineRule="exact"/>
              <w:jc w:val="center"/>
              <w:rPr>
                <w:color w:val="000000"/>
                <w:sz w:val="15"/>
                <w:szCs w:val="15"/>
              </w:rPr>
            </w:pPr>
            <w:r>
              <w:rPr>
                <w:rFonts w:hint="eastAsia"/>
                <w:color w:val="000000"/>
                <w:sz w:val="15"/>
                <w:szCs w:val="15"/>
              </w:rPr>
              <w:t>114</w:t>
            </w:r>
          </w:p>
        </w:tc>
        <w:tc>
          <w:tcPr>
            <w:tcW w:w="2678" w:type="dxa"/>
            <w:tcBorders>
              <w:top w:val="nil"/>
              <w:left w:val="nil"/>
              <w:bottom w:val="single" w:color="auto" w:sz="4" w:space="0"/>
              <w:right w:val="single" w:color="auto" w:sz="4" w:space="0"/>
            </w:tcBorders>
            <w:shd w:val="clear" w:color="auto" w:fill="auto"/>
            <w:noWrap/>
            <w:vAlign w:val="center"/>
          </w:tcPr>
          <w:p w14:paraId="56F672F5">
            <w:pPr>
              <w:widowControl/>
              <w:spacing w:line="240" w:lineRule="exact"/>
              <w:jc w:val="center"/>
              <w:rPr>
                <w:color w:val="000000"/>
                <w:sz w:val="15"/>
                <w:szCs w:val="15"/>
              </w:rPr>
            </w:pPr>
            <w:r>
              <w:rPr>
                <w:rFonts w:hint="eastAsia"/>
                <w:color w:val="000000"/>
                <w:sz w:val="15"/>
                <w:szCs w:val="15"/>
              </w:rPr>
              <w:t>神经精神科问卷</w:t>
            </w:r>
          </w:p>
        </w:tc>
        <w:tc>
          <w:tcPr>
            <w:tcW w:w="567" w:type="dxa"/>
            <w:tcBorders>
              <w:top w:val="nil"/>
              <w:left w:val="nil"/>
              <w:bottom w:val="single" w:color="auto" w:sz="4" w:space="0"/>
              <w:right w:val="single" w:color="auto" w:sz="4" w:space="0"/>
            </w:tcBorders>
            <w:shd w:val="clear" w:color="auto" w:fill="auto"/>
            <w:noWrap/>
            <w:vAlign w:val="center"/>
          </w:tcPr>
          <w:p w14:paraId="6845A3DC">
            <w:pPr>
              <w:widowControl/>
              <w:spacing w:line="240" w:lineRule="exact"/>
              <w:jc w:val="center"/>
              <w:rPr>
                <w:color w:val="000000"/>
                <w:sz w:val="15"/>
                <w:szCs w:val="15"/>
              </w:rPr>
            </w:pPr>
            <w:r>
              <w:rPr>
                <w:rFonts w:hint="eastAsia"/>
                <w:color w:val="000000"/>
                <w:sz w:val="15"/>
                <w:szCs w:val="15"/>
              </w:rPr>
              <w:t>182</w:t>
            </w:r>
          </w:p>
        </w:tc>
        <w:tc>
          <w:tcPr>
            <w:tcW w:w="2551" w:type="dxa"/>
            <w:tcBorders>
              <w:top w:val="nil"/>
              <w:left w:val="nil"/>
              <w:bottom w:val="single" w:color="auto" w:sz="4" w:space="0"/>
              <w:right w:val="single" w:color="auto" w:sz="4" w:space="0"/>
            </w:tcBorders>
            <w:shd w:val="clear" w:color="auto" w:fill="auto"/>
            <w:noWrap/>
            <w:vAlign w:val="center"/>
          </w:tcPr>
          <w:p w14:paraId="4EEBE7C0">
            <w:pPr>
              <w:widowControl/>
              <w:spacing w:line="240" w:lineRule="exact"/>
              <w:jc w:val="center"/>
              <w:rPr>
                <w:color w:val="000000"/>
                <w:sz w:val="15"/>
                <w:szCs w:val="15"/>
              </w:rPr>
            </w:pPr>
            <w:r>
              <w:rPr>
                <w:rFonts w:hint="eastAsia"/>
                <w:color w:val="000000"/>
                <w:sz w:val="15"/>
                <w:szCs w:val="15"/>
              </w:rPr>
              <w:t>WHO 生活质量量表</w:t>
            </w:r>
          </w:p>
        </w:tc>
      </w:tr>
      <w:tr w14:paraId="0ABA21C1">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2CB7FA2">
            <w:pPr>
              <w:widowControl/>
              <w:spacing w:line="240" w:lineRule="exact"/>
              <w:jc w:val="center"/>
              <w:rPr>
                <w:color w:val="000000"/>
                <w:sz w:val="15"/>
                <w:szCs w:val="15"/>
              </w:rPr>
            </w:pPr>
            <w:r>
              <w:rPr>
                <w:rFonts w:hint="eastAsia"/>
                <w:color w:val="000000"/>
                <w:sz w:val="15"/>
                <w:szCs w:val="15"/>
              </w:rPr>
              <w:t>47</w:t>
            </w:r>
          </w:p>
        </w:tc>
        <w:tc>
          <w:tcPr>
            <w:tcW w:w="2409" w:type="dxa"/>
            <w:tcBorders>
              <w:top w:val="nil"/>
              <w:left w:val="nil"/>
              <w:bottom w:val="single" w:color="auto" w:sz="4" w:space="0"/>
              <w:right w:val="single" w:color="auto" w:sz="4" w:space="0"/>
            </w:tcBorders>
            <w:shd w:val="clear" w:color="auto" w:fill="auto"/>
            <w:noWrap/>
            <w:vAlign w:val="center"/>
          </w:tcPr>
          <w:p w14:paraId="22E0E473">
            <w:pPr>
              <w:widowControl/>
              <w:spacing w:line="240" w:lineRule="exact"/>
              <w:jc w:val="center"/>
              <w:rPr>
                <w:color w:val="000000"/>
                <w:sz w:val="15"/>
                <w:szCs w:val="15"/>
                <w:lang w:eastAsia="zh-CN"/>
              </w:rPr>
            </w:pPr>
            <w:r>
              <w:rPr>
                <w:rFonts w:hint="eastAsia"/>
                <w:color w:val="000000"/>
                <w:sz w:val="15"/>
                <w:szCs w:val="15"/>
                <w:lang w:eastAsia="zh-CN"/>
              </w:rPr>
              <w:t>进食障碍相关症状问卷</w:t>
            </w:r>
          </w:p>
        </w:tc>
        <w:tc>
          <w:tcPr>
            <w:tcW w:w="441" w:type="dxa"/>
            <w:tcBorders>
              <w:top w:val="nil"/>
              <w:left w:val="nil"/>
              <w:bottom w:val="single" w:color="auto" w:sz="4" w:space="0"/>
              <w:right w:val="single" w:color="auto" w:sz="4" w:space="0"/>
            </w:tcBorders>
            <w:shd w:val="clear" w:color="auto" w:fill="auto"/>
            <w:noWrap/>
            <w:vAlign w:val="center"/>
          </w:tcPr>
          <w:p w14:paraId="0538004D">
            <w:pPr>
              <w:widowControl/>
              <w:spacing w:line="240" w:lineRule="exact"/>
              <w:jc w:val="center"/>
              <w:rPr>
                <w:color w:val="000000"/>
                <w:sz w:val="15"/>
                <w:szCs w:val="15"/>
              </w:rPr>
            </w:pPr>
            <w:r>
              <w:rPr>
                <w:rFonts w:hint="eastAsia"/>
                <w:color w:val="000000"/>
                <w:sz w:val="15"/>
                <w:szCs w:val="15"/>
              </w:rPr>
              <w:t>115</w:t>
            </w:r>
          </w:p>
        </w:tc>
        <w:tc>
          <w:tcPr>
            <w:tcW w:w="2678" w:type="dxa"/>
            <w:tcBorders>
              <w:top w:val="nil"/>
              <w:left w:val="nil"/>
              <w:bottom w:val="single" w:color="auto" w:sz="4" w:space="0"/>
              <w:right w:val="single" w:color="auto" w:sz="4" w:space="0"/>
            </w:tcBorders>
            <w:shd w:val="clear" w:color="auto" w:fill="auto"/>
            <w:noWrap/>
            <w:vAlign w:val="center"/>
          </w:tcPr>
          <w:p w14:paraId="64F2C362">
            <w:pPr>
              <w:widowControl/>
              <w:spacing w:line="240" w:lineRule="exact"/>
              <w:jc w:val="center"/>
              <w:rPr>
                <w:color w:val="000000"/>
                <w:sz w:val="15"/>
                <w:szCs w:val="15"/>
                <w:lang w:eastAsia="zh-CN"/>
              </w:rPr>
            </w:pPr>
            <w:r>
              <w:rPr>
                <w:rFonts w:hint="eastAsia"/>
                <w:color w:val="000000"/>
                <w:sz w:val="15"/>
                <w:szCs w:val="15"/>
                <w:lang w:eastAsia="zh-CN"/>
              </w:rPr>
              <w:t>阿片成瘾严重程度量表</w:t>
            </w:r>
          </w:p>
        </w:tc>
        <w:tc>
          <w:tcPr>
            <w:tcW w:w="567" w:type="dxa"/>
            <w:tcBorders>
              <w:top w:val="nil"/>
              <w:left w:val="nil"/>
              <w:bottom w:val="single" w:color="auto" w:sz="4" w:space="0"/>
              <w:right w:val="single" w:color="auto" w:sz="4" w:space="0"/>
            </w:tcBorders>
            <w:shd w:val="clear" w:color="auto" w:fill="auto"/>
            <w:noWrap/>
            <w:vAlign w:val="center"/>
          </w:tcPr>
          <w:p w14:paraId="118877DA">
            <w:pPr>
              <w:widowControl/>
              <w:spacing w:line="240" w:lineRule="exact"/>
              <w:jc w:val="center"/>
              <w:rPr>
                <w:color w:val="000000"/>
                <w:sz w:val="15"/>
                <w:szCs w:val="15"/>
              </w:rPr>
            </w:pPr>
            <w:r>
              <w:rPr>
                <w:rFonts w:hint="eastAsia"/>
                <w:color w:val="000000"/>
                <w:sz w:val="15"/>
                <w:szCs w:val="15"/>
              </w:rPr>
              <w:t>183</w:t>
            </w:r>
          </w:p>
        </w:tc>
        <w:tc>
          <w:tcPr>
            <w:tcW w:w="2551" w:type="dxa"/>
            <w:tcBorders>
              <w:top w:val="nil"/>
              <w:left w:val="nil"/>
              <w:bottom w:val="single" w:color="auto" w:sz="4" w:space="0"/>
              <w:right w:val="single" w:color="auto" w:sz="4" w:space="0"/>
            </w:tcBorders>
            <w:shd w:val="clear" w:color="auto" w:fill="auto"/>
            <w:noWrap/>
            <w:vAlign w:val="center"/>
          </w:tcPr>
          <w:p w14:paraId="3BE1FE0F">
            <w:pPr>
              <w:widowControl/>
              <w:spacing w:line="240" w:lineRule="exact"/>
              <w:jc w:val="center"/>
              <w:rPr>
                <w:color w:val="000000"/>
                <w:sz w:val="15"/>
                <w:szCs w:val="15"/>
              </w:rPr>
            </w:pPr>
            <w:r>
              <w:rPr>
                <w:rFonts w:hint="eastAsia"/>
                <w:color w:val="000000"/>
                <w:sz w:val="15"/>
                <w:szCs w:val="15"/>
              </w:rPr>
              <w:t>强迫症状问卷</w:t>
            </w:r>
          </w:p>
        </w:tc>
      </w:tr>
      <w:tr w14:paraId="7025E7C7">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45EB787">
            <w:pPr>
              <w:widowControl/>
              <w:spacing w:line="240" w:lineRule="exact"/>
              <w:jc w:val="center"/>
              <w:rPr>
                <w:color w:val="000000"/>
                <w:sz w:val="15"/>
                <w:szCs w:val="15"/>
              </w:rPr>
            </w:pPr>
            <w:r>
              <w:rPr>
                <w:rFonts w:hint="eastAsia"/>
                <w:color w:val="000000"/>
                <w:sz w:val="15"/>
                <w:szCs w:val="15"/>
              </w:rPr>
              <w:t>48</w:t>
            </w:r>
          </w:p>
        </w:tc>
        <w:tc>
          <w:tcPr>
            <w:tcW w:w="2409" w:type="dxa"/>
            <w:tcBorders>
              <w:top w:val="nil"/>
              <w:left w:val="nil"/>
              <w:bottom w:val="single" w:color="auto" w:sz="4" w:space="0"/>
              <w:right w:val="single" w:color="auto" w:sz="4" w:space="0"/>
            </w:tcBorders>
            <w:shd w:val="clear" w:color="auto" w:fill="auto"/>
            <w:noWrap/>
            <w:vAlign w:val="center"/>
          </w:tcPr>
          <w:p w14:paraId="142841EE">
            <w:pPr>
              <w:widowControl/>
              <w:spacing w:line="240" w:lineRule="exact"/>
              <w:jc w:val="center"/>
              <w:rPr>
                <w:color w:val="000000"/>
                <w:sz w:val="15"/>
                <w:szCs w:val="15"/>
                <w:lang w:eastAsia="zh-CN"/>
              </w:rPr>
            </w:pPr>
            <w:r>
              <w:rPr>
                <w:rFonts w:hint="eastAsia"/>
                <w:color w:val="000000"/>
                <w:sz w:val="15"/>
                <w:szCs w:val="15"/>
                <w:lang w:eastAsia="zh-CN"/>
              </w:rPr>
              <w:t>艾森克情绪稳定性测验</w:t>
            </w:r>
          </w:p>
        </w:tc>
        <w:tc>
          <w:tcPr>
            <w:tcW w:w="441" w:type="dxa"/>
            <w:tcBorders>
              <w:top w:val="nil"/>
              <w:left w:val="nil"/>
              <w:bottom w:val="single" w:color="auto" w:sz="4" w:space="0"/>
              <w:right w:val="single" w:color="auto" w:sz="4" w:space="0"/>
            </w:tcBorders>
            <w:shd w:val="clear" w:color="auto" w:fill="auto"/>
            <w:noWrap/>
            <w:vAlign w:val="center"/>
          </w:tcPr>
          <w:p w14:paraId="6212F1D3">
            <w:pPr>
              <w:widowControl/>
              <w:spacing w:line="240" w:lineRule="exact"/>
              <w:jc w:val="center"/>
              <w:rPr>
                <w:color w:val="000000"/>
                <w:sz w:val="15"/>
                <w:szCs w:val="15"/>
              </w:rPr>
            </w:pPr>
            <w:r>
              <w:rPr>
                <w:rFonts w:hint="eastAsia"/>
                <w:color w:val="000000"/>
                <w:sz w:val="15"/>
                <w:szCs w:val="15"/>
              </w:rPr>
              <w:t>116</w:t>
            </w:r>
          </w:p>
        </w:tc>
        <w:tc>
          <w:tcPr>
            <w:tcW w:w="2678" w:type="dxa"/>
            <w:tcBorders>
              <w:top w:val="nil"/>
              <w:left w:val="nil"/>
              <w:bottom w:val="single" w:color="auto" w:sz="4" w:space="0"/>
              <w:right w:val="single" w:color="auto" w:sz="4" w:space="0"/>
            </w:tcBorders>
            <w:shd w:val="clear" w:color="auto" w:fill="auto"/>
            <w:noWrap/>
            <w:vAlign w:val="center"/>
          </w:tcPr>
          <w:p w14:paraId="08B5D3D6">
            <w:pPr>
              <w:widowControl/>
              <w:spacing w:line="240" w:lineRule="exact"/>
              <w:jc w:val="center"/>
              <w:rPr>
                <w:color w:val="000000"/>
                <w:sz w:val="15"/>
                <w:szCs w:val="15"/>
                <w:lang w:eastAsia="zh-CN"/>
              </w:rPr>
            </w:pPr>
            <w:r>
              <w:rPr>
                <w:rFonts w:hint="eastAsia"/>
                <w:color w:val="000000"/>
                <w:sz w:val="15"/>
                <w:szCs w:val="15"/>
                <w:lang w:eastAsia="zh-CN"/>
              </w:rPr>
              <w:t>简短定向力-记忆力-注意力测验</w:t>
            </w:r>
          </w:p>
        </w:tc>
        <w:tc>
          <w:tcPr>
            <w:tcW w:w="567" w:type="dxa"/>
            <w:tcBorders>
              <w:top w:val="nil"/>
              <w:left w:val="nil"/>
              <w:bottom w:val="single" w:color="auto" w:sz="4" w:space="0"/>
              <w:right w:val="single" w:color="auto" w:sz="4" w:space="0"/>
            </w:tcBorders>
            <w:shd w:val="clear" w:color="auto" w:fill="auto"/>
            <w:noWrap/>
            <w:vAlign w:val="center"/>
          </w:tcPr>
          <w:p w14:paraId="79BCC2D9">
            <w:pPr>
              <w:widowControl/>
              <w:spacing w:line="240" w:lineRule="exact"/>
              <w:jc w:val="center"/>
              <w:rPr>
                <w:color w:val="000000"/>
                <w:sz w:val="15"/>
                <w:szCs w:val="15"/>
              </w:rPr>
            </w:pPr>
            <w:r>
              <w:rPr>
                <w:rFonts w:hint="eastAsia"/>
                <w:color w:val="000000"/>
                <w:sz w:val="15"/>
                <w:szCs w:val="15"/>
              </w:rPr>
              <w:t>184</w:t>
            </w:r>
          </w:p>
        </w:tc>
        <w:tc>
          <w:tcPr>
            <w:tcW w:w="2551" w:type="dxa"/>
            <w:tcBorders>
              <w:top w:val="nil"/>
              <w:left w:val="nil"/>
              <w:bottom w:val="single" w:color="auto" w:sz="4" w:space="0"/>
              <w:right w:val="single" w:color="auto" w:sz="4" w:space="0"/>
            </w:tcBorders>
            <w:shd w:val="clear" w:color="auto" w:fill="auto"/>
            <w:noWrap/>
            <w:vAlign w:val="center"/>
          </w:tcPr>
          <w:p w14:paraId="20D6FF06">
            <w:pPr>
              <w:widowControl/>
              <w:spacing w:line="240" w:lineRule="exact"/>
              <w:jc w:val="center"/>
              <w:rPr>
                <w:color w:val="000000"/>
                <w:sz w:val="15"/>
                <w:szCs w:val="15"/>
              </w:rPr>
            </w:pPr>
            <w:r>
              <w:rPr>
                <w:rFonts w:hint="eastAsia"/>
                <w:color w:val="000000"/>
                <w:sz w:val="15"/>
                <w:szCs w:val="15"/>
              </w:rPr>
              <w:t>应付方式问卷</w:t>
            </w:r>
          </w:p>
        </w:tc>
      </w:tr>
      <w:tr w14:paraId="1103E632">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9F70F35">
            <w:pPr>
              <w:widowControl/>
              <w:spacing w:line="240" w:lineRule="exact"/>
              <w:jc w:val="center"/>
              <w:rPr>
                <w:color w:val="000000"/>
                <w:sz w:val="15"/>
                <w:szCs w:val="15"/>
              </w:rPr>
            </w:pPr>
            <w:r>
              <w:rPr>
                <w:rFonts w:hint="eastAsia"/>
                <w:color w:val="000000"/>
                <w:sz w:val="15"/>
                <w:szCs w:val="15"/>
              </w:rPr>
              <w:t>49</w:t>
            </w:r>
          </w:p>
        </w:tc>
        <w:tc>
          <w:tcPr>
            <w:tcW w:w="2409" w:type="dxa"/>
            <w:tcBorders>
              <w:top w:val="nil"/>
              <w:left w:val="nil"/>
              <w:bottom w:val="single" w:color="auto" w:sz="4" w:space="0"/>
              <w:right w:val="single" w:color="auto" w:sz="4" w:space="0"/>
            </w:tcBorders>
            <w:shd w:val="clear" w:color="auto" w:fill="auto"/>
            <w:noWrap/>
            <w:vAlign w:val="center"/>
          </w:tcPr>
          <w:p w14:paraId="788D3109">
            <w:pPr>
              <w:widowControl/>
              <w:spacing w:line="240" w:lineRule="exact"/>
              <w:jc w:val="center"/>
              <w:rPr>
                <w:color w:val="000000"/>
                <w:sz w:val="15"/>
                <w:szCs w:val="15"/>
              </w:rPr>
            </w:pPr>
            <w:r>
              <w:rPr>
                <w:rFonts w:hint="eastAsia"/>
                <w:color w:val="000000"/>
                <w:sz w:val="15"/>
                <w:szCs w:val="15"/>
              </w:rPr>
              <w:t>情绪管理</w:t>
            </w:r>
          </w:p>
        </w:tc>
        <w:tc>
          <w:tcPr>
            <w:tcW w:w="441" w:type="dxa"/>
            <w:tcBorders>
              <w:top w:val="nil"/>
              <w:left w:val="nil"/>
              <w:bottom w:val="single" w:color="auto" w:sz="4" w:space="0"/>
              <w:right w:val="single" w:color="auto" w:sz="4" w:space="0"/>
            </w:tcBorders>
            <w:shd w:val="clear" w:color="auto" w:fill="auto"/>
            <w:noWrap/>
            <w:vAlign w:val="center"/>
          </w:tcPr>
          <w:p w14:paraId="697EAA12">
            <w:pPr>
              <w:widowControl/>
              <w:spacing w:line="240" w:lineRule="exact"/>
              <w:jc w:val="center"/>
              <w:rPr>
                <w:color w:val="000000"/>
                <w:sz w:val="15"/>
                <w:szCs w:val="15"/>
              </w:rPr>
            </w:pPr>
            <w:r>
              <w:rPr>
                <w:rFonts w:hint="eastAsia"/>
                <w:color w:val="000000"/>
                <w:sz w:val="15"/>
                <w:szCs w:val="15"/>
              </w:rPr>
              <w:t>117</w:t>
            </w:r>
          </w:p>
        </w:tc>
        <w:tc>
          <w:tcPr>
            <w:tcW w:w="2678" w:type="dxa"/>
            <w:tcBorders>
              <w:top w:val="nil"/>
              <w:left w:val="nil"/>
              <w:bottom w:val="single" w:color="auto" w:sz="4" w:space="0"/>
              <w:right w:val="single" w:color="auto" w:sz="4" w:space="0"/>
            </w:tcBorders>
            <w:shd w:val="clear" w:color="auto" w:fill="auto"/>
            <w:noWrap/>
            <w:vAlign w:val="center"/>
          </w:tcPr>
          <w:p w14:paraId="3543CFAF">
            <w:pPr>
              <w:widowControl/>
              <w:spacing w:line="240" w:lineRule="exact"/>
              <w:jc w:val="center"/>
              <w:rPr>
                <w:color w:val="000000"/>
                <w:sz w:val="15"/>
                <w:szCs w:val="15"/>
                <w:lang w:eastAsia="zh-CN"/>
              </w:rPr>
            </w:pPr>
            <w:r>
              <w:rPr>
                <w:rFonts w:hint="eastAsia"/>
                <w:color w:val="000000"/>
                <w:sz w:val="15"/>
                <w:szCs w:val="15"/>
                <w:lang w:eastAsia="zh-CN"/>
              </w:rPr>
              <w:t>阿片戒断症状评价量表</w:t>
            </w:r>
          </w:p>
        </w:tc>
        <w:tc>
          <w:tcPr>
            <w:tcW w:w="567" w:type="dxa"/>
            <w:tcBorders>
              <w:top w:val="nil"/>
              <w:left w:val="nil"/>
              <w:bottom w:val="single" w:color="auto" w:sz="4" w:space="0"/>
              <w:right w:val="single" w:color="auto" w:sz="4" w:space="0"/>
            </w:tcBorders>
            <w:shd w:val="clear" w:color="auto" w:fill="auto"/>
            <w:noWrap/>
            <w:vAlign w:val="center"/>
          </w:tcPr>
          <w:p w14:paraId="70BE5FBF">
            <w:pPr>
              <w:widowControl/>
              <w:spacing w:line="240" w:lineRule="exact"/>
              <w:jc w:val="center"/>
              <w:rPr>
                <w:color w:val="000000"/>
                <w:sz w:val="15"/>
                <w:szCs w:val="15"/>
              </w:rPr>
            </w:pPr>
            <w:r>
              <w:rPr>
                <w:rFonts w:hint="eastAsia"/>
                <w:color w:val="000000"/>
                <w:sz w:val="15"/>
                <w:szCs w:val="15"/>
              </w:rPr>
              <w:t>185</w:t>
            </w:r>
          </w:p>
        </w:tc>
        <w:tc>
          <w:tcPr>
            <w:tcW w:w="2551" w:type="dxa"/>
            <w:tcBorders>
              <w:top w:val="nil"/>
              <w:left w:val="nil"/>
              <w:bottom w:val="single" w:color="auto" w:sz="4" w:space="0"/>
              <w:right w:val="single" w:color="auto" w:sz="4" w:space="0"/>
            </w:tcBorders>
            <w:shd w:val="clear" w:color="auto" w:fill="auto"/>
            <w:noWrap/>
            <w:vAlign w:val="center"/>
          </w:tcPr>
          <w:p w14:paraId="2F6E1B36">
            <w:pPr>
              <w:widowControl/>
              <w:spacing w:line="240" w:lineRule="exact"/>
              <w:jc w:val="center"/>
              <w:rPr>
                <w:color w:val="000000"/>
                <w:sz w:val="15"/>
                <w:szCs w:val="15"/>
                <w:lang w:eastAsia="zh-CN"/>
              </w:rPr>
            </w:pPr>
            <w:r>
              <w:rPr>
                <w:rFonts w:hint="eastAsia"/>
                <w:color w:val="000000"/>
                <w:sz w:val="15"/>
                <w:szCs w:val="15"/>
                <w:lang w:eastAsia="zh-CN"/>
              </w:rPr>
              <w:t>耶鲁综合抽动严重程度评估量表</w:t>
            </w:r>
          </w:p>
        </w:tc>
      </w:tr>
      <w:tr w14:paraId="37526FBE">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A089E4B">
            <w:pPr>
              <w:widowControl/>
              <w:spacing w:line="240" w:lineRule="exact"/>
              <w:jc w:val="center"/>
              <w:rPr>
                <w:color w:val="000000"/>
                <w:sz w:val="15"/>
                <w:szCs w:val="15"/>
              </w:rPr>
            </w:pPr>
            <w:r>
              <w:rPr>
                <w:rFonts w:hint="eastAsia"/>
                <w:color w:val="000000"/>
                <w:sz w:val="15"/>
                <w:szCs w:val="15"/>
              </w:rPr>
              <w:t>50</w:t>
            </w:r>
          </w:p>
        </w:tc>
        <w:tc>
          <w:tcPr>
            <w:tcW w:w="2409" w:type="dxa"/>
            <w:tcBorders>
              <w:top w:val="nil"/>
              <w:left w:val="nil"/>
              <w:bottom w:val="single" w:color="auto" w:sz="4" w:space="0"/>
              <w:right w:val="single" w:color="auto" w:sz="4" w:space="0"/>
            </w:tcBorders>
            <w:shd w:val="clear" w:color="auto" w:fill="auto"/>
            <w:noWrap/>
            <w:vAlign w:val="center"/>
          </w:tcPr>
          <w:p w14:paraId="42416500">
            <w:pPr>
              <w:widowControl/>
              <w:spacing w:line="240" w:lineRule="exact"/>
              <w:jc w:val="center"/>
              <w:rPr>
                <w:color w:val="000000"/>
                <w:sz w:val="15"/>
                <w:szCs w:val="15"/>
              </w:rPr>
            </w:pPr>
            <w:r>
              <w:rPr>
                <w:rFonts w:hint="eastAsia"/>
                <w:color w:val="000000"/>
                <w:sz w:val="15"/>
                <w:szCs w:val="15"/>
              </w:rPr>
              <w:t>父母养育方式</w:t>
            </w:r>
          </w:p>
        </w:tc>
        <w:tc>
          <w:tcPr>
            <w:tcW w:w="441" w:type="dxa"/>
            <w:tcBorders>
              <w:top w:val="nil"/>
              <w:left w:val="nil"/>
              <w:bottom w:val="single" w:color="auto" w:sz="4" w:space="0"/>
              <w:right w:val="single" w:color="auto" w:sz="4" w:space="0"/>
            </w:tcBorders>
            <w:shd w:val="clear" w:color="auto" w:fill="auto"/>
            <w:noWrap/>
            <w:vAlign w:val="center"/>
          </w:tcPr>
          <w:p w14:paraId="17AFCCB9">
            <w:pPr>
              <w:widowControl/>
              <w:spacing w:line="240" w:lineRule="exact"/>
              <w:jc w:val="center"/>
              <w:rPr>
                <w:color w:val="000000"/>
                <w:sz w:val="15"/>
                <w:szCs w:val="15"/>
              </w:rPr>
            </w:pPr>
            <w:r>
              <w:rPr>
                <w:rFonts w:hint="eastAsia"/>
                <w:color w:val="000000"/>
                <w:sz w:val="15"/>
                <w:szCs w:val="15"/>
              </w:rPr>
              <w:t>118</w:t>
            </w:r>
          </w:p>
        </w:tc>
        <w:tc>
          <w:tcPr>
            <w:tcW w:w="2678" w:type="dxa"/>
            <w:tcBorders>
              <w:top w:val="nil"/>
              <w:left w:val="nil"/>
              <w:bottom w:val="single" w:color="auto" w:sz="4" w:space="0"/>
              <w:right w:val="single" w:color="auto" w:sz="4" w:space="0"/>
            </w:tcBorders>
            <w:shd w:val="clear" w:color="auto" w:fill="auto"/>
            <w:noWrap/>
            <w:vAlign w:val="center"/>
          </w:tcPr>
          <w:p w14:paraId="66AAAC7D">
            <w:pPr>
              <w:widowControl/>
              <w:spacing w:line="240" w:lineRule="exact"/>
              <w:jc w:val="center"/>
              <w:rPr>
                <w:color w:val="000000"/>
                <w:sz w:val="15"/>
                <w:szCs w:val="15"/>
              </w:rPr>
            </w:pPr>
            <w:r>
              <w:rPr>
                <w:rFonts w:hint="eastAsia"/>
                <w:color w:val="000000"/>
                <w:sz w:val="15"/>
                <w:szCs w:val="15"/>
              </w:rPr>
              <w:t>情绪自评量表</w:t>
            </w:r>
          </w:p>
        </w:tc>
        <w:tc>
          <w:tcPr>
            <w:tcW w:w="567" w:type="dxa"/>
            <w:tcBorders>
              <w:top w:val="nil"/>
              <w:left w:val="nil"/>
              <w:bottom w:val="single" w:color="auto" w:sz="4" w:space="0"/>
              <w:right w:val="single" w:color="auto" w:sz="4" w:space="0"/>
            </w:tcBorders>
            <w:shd w:val="clear" w:color="auto" w:fill="auto"/>
            <w:noWrap/>
            <w:vAlign w:val="center"/>
          </w:tcPr>
          <w:p w14:paraId="16C01C03">
            <w:pPr>
              <w:widowControl/>
              <w:spacing w:line="240" w:lineRule="exact"/>
              <w:jc w:val="center"/>
              <w:rPr>
                <w:color w:val="000000"/>
                <w:sz w:val="15"/>
                <w:szCs w:val="15"/>
              </w:rPr>
            </w:pPr>
            <w:r>
              <w:rPr>
                <w:rFonts w:hint="eastAsia"/>
                <w:color w:val="000000"/>
                <w:sz w:val="15"/>
                <w:szCs w:val="15"/>
              </w:rPr>
              <w:t>186</w:t>
            </w:r>
          </w:p>
        </w:tc>
        <w:tc>
          <w:tcPr>
            <w:tcW w:w="2551" w:type="dxa"/>
            <w:tcBorders>
              <w:top w:val="nil"/>
              <w:left w:val="nil"/>
              <w:bottom w:val="single" w:color="auto" w:sz="4" w:space="0"/>
              <w:right w:val="single" w:color="auto" w:sz="4" w:space="0"/>
            </w:tcBorders>
            <w:shd w:val="clear" w:color="auto" w:fill="auto"/>
            <w:noWrap/>
            <w:vAlign w:val="center"/>
          </w:tcPr>
          <w:p w14:paraId="0287DD8E">
            <w:pPr>
              <w:widowControl/>
              <w:spacing w:line="240" w:lineRule="exact"/>
              <w:jc w:val="center"/>
              <w:rPr>
                <w:color w:val="000000"/>
                <w:sz w:val="15"/>
                <w:szCs w:val="15"/>
              </w:rPr>
            </w:pPr>
            <w:r>
              <w:rPr>
                <w:rFonts w:hint="eastAsia"/>
                <w:color w:val="000000"/>
                <w:sz w:val="15"/>
                <w:szCs w:val="15"/>
              </w:rPr>
              <w:t>躁狂状态评定量表</w:t>
            </w:r>
          </w:p>
        </w:tc>
      </w:tr>
      <w:tr w14:paraId="00965B3B">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36279FF">
            <w:pPr>
              <w:widowControl/>
              <w:spacing w:line="240" w:lineRule="exact"/>
              <w:jc w:val="center"/>
              <w:rPr>
                <w:color w:val="000000"/>
                <w:sz w:val="15"/>
                <w:szCs w:val="15"/>
              </w:rPr>
            </w:pPr>
            <w:r>
              <w:rPr>
                <w:rFonts w:hint="eastAsia"/>
                <w:color w:val="000000"/>
                <w:sz w:val="15"/>
                <w:szCs w:val="15"/>
              </w:rPr>
              <w:t>51</w:t>
            </w:r>
          </w:p>
        </w:tc>
        <w:tc>
          <w:tcPr>
            <w:tcW w:w="2409" w:type="dxa"/>
            <w:tcBorders>
              <w:top w:val="nil"/>
              <w:left w:val="nil"/>
              <w:bottom w:val="single" w:color="auto" w:sz="4" w:space="0"/>
              <w:right w:val="single" w:color="auto" w:sz="4" w:space="0"/>
            </w:tcBorders>
            <w:shd w:val="clear" w:color="auto" w:fill="auto"/>
            <w:noWrap/>
            <w:vAlign w:val="center"/>
          </w:tcPr>
          <w:p w14:paraId="6093CFF0">
            <w:pPr>
              <w:widowControl/>
              <w:spacing w:line="240" w:lineRule="exact"/>
              <w:jc w:val="center"/>
              <w:rPr>
                <w:color w:val="000000"/>
                <w:sz w:val="15"/>
                <w:szCs w:val="15"/>
              </w:rPr>
            </w:pPr>
            <w:r>
              <w:rPr>
                <w:rFonts w:hint="eastAsia"/>
                <w:color w:val="000000"/>
                <w:sz w:val="15"/>
                <w:szCs w:val="15"/>
              </w:rPr>
              <w:t>Olson 婚姻质量问卷</w:t>
            </w:r>
          </w:p>
        </w:tc>
        <w:tc>
          <w:tcPr>
            <w:tcW w:w="441" w:type="dxa"/>
            <w:tcBorders>
              <w:top w:val="nil"/>
              <w:left w:val="nil"/>
              <w:bottom w:val="single" w:color="auto" w:sz="4" w:space="0"/>
              <w:right w:val="single" w:color="auto" w:sz="4" w:space="0"/>
            </w:tcBorders>
            <w:shd w:val="clear" w:color="auto" w:fill="auto"/>
            <w:noWrap/>
            <w:vAlign w:val="center"/>
          </w:tcPr>
          <w:p w14:paraId="543B9B23">
            <w:pPr>
              <w:widowControl/>
              <w:spacing w:line="240" w:lineRule="exact"/>
              <w:jc w:val="center"/>
              <w:rPr>
                <w:color w:val="000000"/>
                <w:sz w:val="15"/>
                <w:szCs w:val="15"/>
              </w:rPr>
            </w:pPr>
            <w:r>
              <w:rPr>
                <w:rFonts w:hint="eastAsia"/>
                <w:color w:val="000000"/>
                <w:sz w:val="15"/>
                <w:szCs w:val="15"/>
              </w:rPr>
              <w:t>119</w:t>
            </w:r>
          </w:p>
        </w:tc>
        <w:tc>
          <w:tcPr>
            <w:tcW w:w="2678" w:type="dxa"/>
            <w:tcBorders>
              <w:top w:val="nil"/>
              <w:left w:val="nil"/>
              <w:bottom w:val="single" w:color="auto" w:sz="4" w:space="0"/>
              <w:right w:val="single" w:color="auto" w:sz="4" w:space="0"/>
            </w:tcBorders>
            <w:shd w:val="clear" w:color="auto" w:fill="auto"/>
            <w:noWrap/>
            <w:vAlign w:val="center"/>
          </w:tcPr>
          <w:p w14:paraId="0F02A3C1">
            <w:pPr>
              <w:widowControl/>
              <w:spacing w:line="240" w:lineRule="exact"/>
              <w:jc w:val="center"/>
              <w:rPr>
                <w:color w:val="000000"/>
                <w:sz w:val="15"/>
                <w:szCs w:val="15"/>
                <w:lang w:eastAsia="zh-CN"/>
              </w:rPr>
            </w:pPr>
            <w:r>
              <w:rPr>
                <w:rFonts w:hint="eastAsia"/>
                <w:color w:val="000000"/>
                <w:sz w:val="15"/>
                <w:szCs w:val="15"/>
                <w:lang w:eastAsia="zh-CN"/>
              </w:rPr>
              <w:t>阳性阴性精神症状评定量表</w:t>
            </w:r>
          </w:p>
        </w:tc>
        <w:tc>
          <w:tcPr>
            <w:tcW w:w="567" w:type="dxa"/>
            <w:tcBorders>
              <w:top w:val="nil"/>
              <w:left w:val="nil"/>
              <w:bottom w:val="single" w:color="auto" w:sz="4" w:space="0"/>
              <w:right w:val="single" w:color="auto" w:sz="4" w:space="0"/>
            </w:tcBorders>
            <w:shd w:val="clear" w:color="auto" w:fill="auto"/>
            <w:noWrap/>
            <w:vAlign w:val="center"/>
          </w:tcPr>
          <w:p w14:paraId="600A2D94">
            <w:pPr>
              <w:widowControl/>
              <w:spacing w:line="240" w:lineRule="exact"/>
              <w:jc w:val="center"/>
              <w:rPr>
                <w:color w:val="000000"/>
                <w:sz w:val="15"/>
                <w:szCs w:val="15"/>
              </w:rPr>
            </w:pPr>
            <w:r>
              <w:rPr>
                <w:rFonts w:hint="eastAsia"/>
                <w:color w:val="000000"/>
                <w:sz w:val="15"/>
                <w:szCs w:val="15"/>
              </w:rPr>
              <w:t>187</w:t>
            </w:r>
          </w:p>
        </w:tc>
        <w:tc>
          <w:tcPr>
            <w:tcW w:w="2551" w:type="dxa"/>
            <w:tcBorders>
              <w:top w:val="nil"/>
              <w:left w:val="nil"/>
              <w:bottom w:val="single" w:color="auto" w:sz="4" w:space="0"/>
              <w:right w:val="single" w:color="auto" w:sz="4" w:space="0"/>
            </w:tcBorders>
            <w:shd w:val="clear" w:color="auto" w:fill="auto"/>
            <w:noWrap/>
            <w:vAlign w:val="center"/>
          </w:tcPr>
          <w:p w14:paraId="0B592195">
            <w:pPr>
              <w:widowControl/>
              <w:spacing w:line="240" w:lineRule="exact"/>
              <w:jc w:val="center"/>
              <w:rPr>
                <w:color w:val="000000"/>
                <w:sz w:val="15"/>
                <w:szCs w:val="15"/>
              </w:rPr>
            </w:pPr>
            <w:r>
              <w:rPr>
                <w:rFonts w:hint="eastAsia"/>
                <w:color w:val="000000"/>
                <w:sz w:val="15"/>
                <w:szCs w:val="15"/>
              </w:rPr>
              <w:t>Young 图式问卷-简式-第二版</w:t>
            </w:r>
          </w:p>
        </w:tc>
      </w:tr>
      <w:tr w14:paraId="164CE72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C87B853">
            <w:pPr>
              <w:widowControl/>
              <w:spacing w:line="240" w:lineRule="exact"/>
              <w:jc w:val="center"/>
              <w:rPr>
                <w:color w:val="000000"/>
                <w:sz w:val="15"/>
                <w:szCs w:val="15"/>
              </w:rPr>
            </w:pPr>
            <w:r>
              <w:rPr>
                <w:rFonts w:hint="eastAsia"/>
                <w:color w:val="000000"/>
                <w:sz w:val="15"/>
                <w:szCs w:val="15"/>
              </w:rPr>
              <w:t>52</w:t>
            </w:r>
          </w:p>
        </w:tc>
        <w:tc>
          <w:tcPr>
            <w:tcW w:w="2409" w:type="dxa"/>
            <w:tcBorders>
              <w:top w:val="nil"/>
              <w:left w:val="nil"/>
              <w:bottom w:val="single" w:color="auto" w:sz="4" w:space="0"/>
              <w:right w:val="single" w:color="auto" w:sz="4" w:space="0"/>
            </w:tcBorders>
            <w:shd w:val="clear" w:color="auto" w:fill="auto"/>
            <w:noWrap/>
            <w:vAlign w:val="center"/>
          </w:tcPr>
          <w:p w14:paraId="4D4CC4F8">
            <w:pPr>
              <w:widowControl/>
              <w:spacing w:line="240" w:lineRule="exact"/>
              <w:jc w:val="center"/>
              <w:rPr>
                <w:color w:val="000000"/>
                <w:sz w:val="15"/>
                <w:szCs w:val="15"/>
              </w:rPr>
            </w:pPr>
            <w:r>
              <w:rPr>
                <w:rFonts w:hint="eastAsia"/>
                <w:color w:val="000000"/>
                <w:sz w:val="15"/>
                <w:szCs w:val="15"/>
              </w:rPr>
              <w:t>爱丁堡产后抑郁量表</w:t>
            </w:r>
          </w:p>
        </w:tc>
        <w:tc>
          <w:tcPr>
            <w:tcW w:w="441" w:type="dxa"/>
            <w:tcBorders>
              <w:top w:val="nil"/>
              <w:left w:val="nil"/>
              <w:bottom w:val="single" w:color="auto" w:sz="4" w:space="0"/>
              <w:right w:val="single" w:color="auto" w:sz="4" w:space="0"/>
            </w:tcBorders>
            <w:shd w:val="clear" w:color="auto" w:fill="auto"/>
            <w:noWrap/>
            <w:vAlign w:val="center"/>
          </w:tcPr>
          <w:p w14:paraId="4A2FE413">
            <w:pPr>
              <w:widowControl/>
              <w:spacing w:line="240" w:lineRule="exact"/>
              <w:jc w:val="center"/>
              <w:rPr>
                <w:color w:val="000000"/>
                <w:sz w:val="15"/>
                <w:szCs w:val="15"/>
              </w:rPr>
            </w:pPr>
            <w:r>
              <w:rPr>
                <w:rFonts w:hint="eastAsia"/>
                <w:color w:val="000000"/>
                <w:sz w:val="15"/>
                <w:szCs w:val="15"/>
              </w:rPr>
              <w:t>120</w:t>
            </w:r>
          </w:p>
        </w:tc>
        <w:tc>
          <w:tcPr>
            <w:tcW w:w="2678" w:type="dxa"/>
            <w:tcBorders>
              <w:top w:val="nil"/>
              <w:left w:val="nil"/>
              <w:bottom w:val="single" w:color="auto" w:sz="4" w:space="0"/>
              <w:right w:val="single" w:color="auto" w:sz="4" w:space="0"/>
            </w:tcBorders>
            <w:shd w:val="clear" w:color="auto" w:fill="auto"/>
            <w:noWrap/>
            <w:vAlign w:val="center"/>
          </w:tcPr>
          <w:p w14:paraId="0AB2324D">
            <w:pPr>
              <w:widowControl/>
              <w:spacing w:line="240" w:lineRule="exact"/>
              <w:jc w:val="center"/>
              <w:rPr>
                <w:color w:val="000000"/>
                <w:sz w:val="15"/>
                <w:szCs w:val="15"/>
              </w:rPr>
            </w:pPr>
            <w:r>
              <w:rPr>
                <w:rFonts w:hint="eastAsia"/>
                <w:color w:val="000000"/>
                <w:sz w:val="15"/>
                <w:szCs w:val="15"/>
              </w:rPr>
              <w:t>惊恐相关症状量表</w:t>
            </w:r>
          </w:p>
        </w:tc>
        <w:tc>
          <w:tcPr>
            <w:tcW w:w="567" w:type="dxa"/>
            <w:tcBorders>
              <w:top w:val="nil"/>
              <w:left w:val="nil"/>
              <w:bottom w:val="single" w:color="auto" w:sz="4" w:space="0"/>
              <w:right w:val="single" w:color="auto" w:sz="4" w:space="0"/>
            </w:tcBorders>
            <w:shd w:val="clear" w:color="auto" w:fill="auto"/>
            <w:noWrap/>
            <w:vAlign w:val="center"/>
          </w:tcPr>
          <w:p w14:paraId="4F691369">
            <w:pPr>
              <w:widowControl/>
              <w:spacing w:line="240" w:lineRule="exact"/>
              <w:jc w:val="center"/>
              <w:rPr>
                <w:color w:val="000000"/>
                <w:sz w:val="15"/>
                <w:szCs w:val="15"/>
              </w:rPr>
            </w:pPr>
            <w:r>
              <w:rPr>
                <w:rFonts w:hint="eastAsia"/>
                <w:color w:val="000000"/>
                <w:sz w:val="15"/>
                <w:szCs w:val="15"/>
              </w:rPr>
              <w:t>188</w:t>
            </w:r>
          </w:p>
        </w:tc>
        <w:tc>
          <w:tcPr>
            <w:tcW w:w="2551" w:type="dxa"/>
            <w:tcBorders>
              <w:top w:val="nil"/>
              <w:left w:val="nil"/>
              <w:bottom w:val="single" w:color="auto" w:sz="4" w:space="0"/>
              <w:right w:val="single" w:color="auto" w:sz="4" w:space="0"/>
            </w:tcBorders>
            <w:shd w:val="clear" w:color="auto" w:fill="auto"/>
            <w:noWrap/>
            <w:vAlign w:val="center"/>
          </w:tcPr>
          <w:p w14:paraId="2FAAAD83">
            <w:pPr>
              <w:widowControl/>
              <w:spacing w:line="240" w:lineRule="exact"/>
              <w:jc w:val="center"/>
              <w:rPr>
                <w:color w:val="000000"/>
                <w:sz w:val="15"/>
                <w:szCs w:val="15"/>
                <w:lang w:eastAsia="zh-CN"/>
              </w:rPr>
            </w:pPr>
            <w:r>
              <w:rPr>
                <w:rFonts w:hint="eastAsia"/>
                <w:color w:val="000000"/>
                <w:sz w:val="15"/>
                <w:szCs w:val="15"/>
                <w:lang w:eastAsia="zh-CN"/>
              </w:rPr>
              <w:t>艾森克现实性幻想性测验</w:t>
            </w:r>
          </w:p>
        </w:tc>
      </w:tr>
      <w:tr w14:paraId="5F795008">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9C6AFEE">
            <w:pPr>
              <w:widowControl/>
              <w:spacing w:line="240" w:lineRule="exact"/>
              <w:jc w:val="center"/>
              <w:rPr>
                <w:color w:val="000000"/>
                <w:sz w:val="15"/>
                <w:szCs w:val="15"/>
              </w:rPr>
            </w:pPr>
            <w:r>
              <w:rPr>
                <w:rFonts w:hint="eastAsia"/>
                <w:color w:val="000000"/>
                <w:sz w:val="15"/>
                <w:szCs w:val="15"/>
              </w:rPr>
              <w:t>53</w:t>
            </w:r>
          </w:p>
        </w:tc>
        <w:tc>
          <w:tcPr>
            <w:tcW w:w="2409" w:type="dxa"/>
            <w:tcBorders>
              <w:top w:val="nil"/>
              <w:left w:val="nil"/>
              <w:bottom w:val="single" w:color="auto" w:sz="4" w:space="0"/>
              <w:right w:val="single" w:color="auto" w:sz="4" w:space="0"/>
            </w:tcBorders>
            <w:shd w:val="clear" w:color="auto" w:fill="auto"/>
            <w:noWrap/>
            <w:vAlign w:val="center"/>
          </w:tcPr>
          <w:p w14:paraId="25617659">
            <w:pPr>
              <w:widowControl/>
              <w:spacing w:line="240" w:lineRule="exact"/>
              <w:jc w:val="center"/>
              <w:rPr>
                <w:color w:val="000000"/>
                <w:sz w:val="15"/>
                <w:szCs w:val="15"/>
              </w:rPr>
            </w:pPr>
            <w:r>
              <w:rPr>
                <w:rFonts w:hint="eastAsia"/>
                <w:color w:val="000000"/>
                <w:sz w:val="15"/>
                <w:szCs w:val="15"/>
              </w:rPr>
              <w:t>艾森克个性测评</w:t>
            </w:r>
          </w:p>
        </w:tc>
        <w:tc>
          <w:tcPr>
            <w:tcW w:w="441" w:type="dxa"/>
            <w:tcBorders>
              <w:top w:val="nil"/>
              <w:left w:val="nil"/>
              <w:bottom w:val="single" w:color="auto" w:sz="4" w:space="0"/>
              <w:right w:val="single" w:color="auto" w:sz="4" w:space="0"/>
            </w:tcBorders>
            <w:shd w:val="clear" w:color="auto" w:fill="auto"/>
            <w:noWrap/>
            <w:vAlign w:val="center"/>
          </w:tcPr>
          <w:p w14:paraId="787F4EDD">
            <w:pPr>
              <w:widowControl/>
              <w:spacing w:line="240" w:lineRule="exact"/>
              <w:jc w:val="center"/>
              <w:rPr>
                <w:color w:val="000000"/>
                <w:sz w:val="15"/>
                <w:szCs w:val="15"/>
              </w:rPr>
            </w:pPr>
            <w:r>
              <w:rPr>
                <w:rFonts w:hint="eastAsia"/>
                <w:color w:val="000000"/>
                <w:sz w:val="15"/>
                <w:szCs w:val="15"/>
              </w:rPr>
              <w:t>121</w:t>
            </w:r>
          </w:p>
        </w:tc>
        <w:tc>
          <w:tcPr>
            <w:tcW w:w="2678" w:type="dxa"/>
            <w:tcBorders>
              <w:top w:val="nil"/>
              <w:left w:val="nil"/>
              <w:bottom w:val="single" w:color="auto" w:sz="4" w:space="0"/>
              <w:right w:val="single" w:color="auto" w:sz="4" w:space="0"/>
            </w:tcBorders>
            <w:shd w:val="clear" w:color="auto" w:fill="auto"/>
            <w:noWrap/>
            <w:vAlign w:val="center"/>
          </w:tcPr>
          <w:p w14:paraId="29F047F2">
            <w:pPr>
              <w:widowControl/>
              <w:spacing w:line="240" w:lineRule="exact"/>
              <w:jc w:val="center"/>
              <w:rPr>
                <w:color w:val="000000"/>
                <w:sz w:val="15"/>
                <w:szCs w:val="15"/>
                <w:lang w:eastAsia="zh-CN"/>
              </w:rPr>
            </w:pPr>
            <w:r>
              <w:rPr>
                <w:rFonts w:hint="eastAsia"/>
                <w:color w:val="000000"/>
                <w:sz w:val="15"/>
                <w:szCs w:val="15"/>
                <w:lang w:eastAsia="zh-CN"/>
              </w:rPr>
              <w:t>创伤后应激障碍检查表</w:t>
            </w:r>
          </w:p>
        </w:tc>
        <w:tc>
          <w:tcPr>
            <w:tcW w:w="567" w:type="dxa"/>
            <w:tcBorders>
              <w:top w:val="nil"/>
              <w:left w:val="nil"/>
              <w:bottom w:val="single" w:color="auto" w:sz="4" w:space="0"/>
              <w:right w:val="single" w:color="auto" w:sz="4" w:space="0"/>
            </w:tcBorders>
            <w:shd w:val="clear" w:color="auto" w:fill="auto"/>
            <w:noWrap/>
            <w:vAlign w:val="center"/>
          </w:tcPr>
          <w:p w14:paraId="748D140B">
            <w:pPr>
              <w:widowControl/>
              <w:spacing w:line="240" w:lineRule="exact"/>
              <w:jc w:val="center"/>
              <w:rPr>
                <w:color w:val="000000"/>
                <w:sz w:val="15"/>
                <w:szCs w:val="15"/>
              </w:rPr>
            </w:pPr>
            <w:r>
              <w:rPr>
                <w:rFonts w:hint="eastAsia"/>
                <w:color w:val="000000"/>
                <w:sz w:val="15"/>
                <w:szCs w:val="15"/>
              </w:rPr>
              <w:t>189</w:t>
            </w:r>
          </w:p>
        </w:tc>
        <w:tc>
          <w:tcPr>
            <w:tcW w:w="2551" w:type="dxa"/>
            <w:tcBorders>
              <w:top w:val="nil"/>
              <w:left w:val="nil"/>
              <w:bottom w:val="single" w:color="auto" w:sz="4" w:space="0"/>
              <w:right w:val="single" w:color="auto" w:sz="4" w:space="0"/>
            </w:tcBorders>
            <w:shd w:val="clear" w:color="auto" w:fill="auto"/>
            <w:noWrap/>
            <w:vAlign w:val="center"/>
          </w:tcPr>
          <w:p w14:paraId="57669DBF">
            <w:pPr>
              <w:widowControl/>
              <w:spacing w:line="240" w:lineRule="exact"/>
              <w:jc w:val="center"/>
              <w:rPr>
                <w:color w:val="000000"/>
                <w:sz w:val="15"/>
                <w:szCs w:val="15"/>
                <w:lang w:eastAsia="zh-CN"/>
              </w:rPr>
            </w:pPr>
            <w:r>
              <w:rPr>
                <w:rFonts w:hint="eastAsia"/>
                <w:color w:val="000000"/>
                <w:sz w:val="15"/>
                <w:szCs w:val="15"/>
                <w:lang w:eastAsia="zh-CN"/>
              </w:rPr>
              <w:t>出走风险因素评估量表</w:t>
            </w:r>
          </w:p>
        </w:tc>
      </w:tr>
      <w:tr w14:paraId="7FECE55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722BA71">
            <w:pPr>
              <w:widowControl/>
              <w:spacing w:line="240" w:lineRule="exact"/>
              <w:jc w:val="center"/>
              <w:rPr>
                <w:color w:val="000000"/>
                <w:sz w:val="15"/>
                <w:szCs w:val="15"/>
              </w:rPr>
            </w:pPr>
            <w:r>
              <w:rPr>
                <w:rFonts w:hint="eastAsia"/>
                <w:color w:val="000000"/>
                <w:sz w:val="15"/>
                <w:szCs w:val="15"/>
              </w:rPr>
              <w:t>54</w:t>
            </w:r>
          </w:p>
        </w:tc>
        <w:tc>
          <w:tcPr>
            <w:tcW w:w="2409" w:type="dxa"/>
            <w:tcBorders>
              <w:top w:val="nil"/>
              <w:left w:val="nil"/>
              <w:bottom w:val="single" w:color="auto" w:sz="4" w:space="0"/>
              <w:right w:val="single" w:color="auto" w:sz="4" w:space="0"/>
            </w:tcBorders>
            <w:shd w:val="clear" w:color="auto" w:fill="auto"/>
            <w:noWrap/>
            <w:vAlign w:val="center"/>
          </w:tcPr>
          <w:p w14:paraId="75A72799">
            <w:pPr>
              <w:widowControl/>
              <w:spacing w:line="240" w:lineRule="exact"/>
              <w:jc w:val="center"/>
              <w:rPr>
                <w:color w:val="000000"/>
                <w:sz w:val="15"/>
                <w:szCs w:val="15"/>
                <w:lang w:eastAsia="zh-CN"/>
              </w:rPr>
            </w:pPr>
            <w:r>
              <w:rPr>
                <w:rFonts w:hint="eastAsia"/>
                <w:color w:val="000000"/>
                <w:sz w:val="15"/>
                <w:szCs w:val="15"/>
                <w:lang w:eastAsia="zh-CN"/>
              </w:rPr>
              <w:t>艾森克人格测评(少年版)</w:t>
            </w:r>
          </w:p>
        </w:tc>
        <w:tc>
          <w:tcPr>
            <w:tcW w:w="441" w:type="dxa"/>
            <w:tcBorders>
              <w:top w:val="nil"/>
              <w:left w:val="nil"/>
              <w:bottom w:val="single" w:color="auto" w:sz="4" w:space="0"/>
              <w:right w:val="single" w:color="auto" w:sz="4" w:space="0"/>
            </w:tcBorders>
            <w:shd w:val="clear" w:color="auto" w:fill="auto"/>
            <w:noWrap/>
            <w:vAlign w:val="center"/>
          </w:tcPr>
          <w:p w14:paraId="179E8B8A">
            <w:pPr>
              <w:widowControl/>
              <w:spacing w:line="240" w:lineRule="exact"/>
              <w:jc w:val="center"/>
              <w:rPr>
                <w:color w:val="000000"/>
                <w:sz w:val="15"/>
                <w:szCs w:val="15"/>
              </w:rPr>
            </w:pPr>
            <w:r>
              <w:rPr>
                <w:rFonts w:hint="eastAsia"/>
                <w:color w:val="000000"/>
                <w:sz w:val="15"/>
                <w:szCs w:val="15"/>
              </w:rPr>
              <w:t>122</w:t>
            </w:r>
          </w:p>
        </w:tc>
        <w:tc>
          <w:tcPr>
            <w:tcW w:w="2678" w:type="dxa"/>
            <w:tcBorders>
              <w:top w:val="nil"/>
              <w:left w:val="nil"/>
              <w:bottom w:val="single" w:color="auto" w:sz="4" w:space="0"/>
              <w:right w:val="single" w:color="auto" w:sz="4" w:space="0"/>
            </w:tcBorders>
            <w:shd w:val="clear" w:color="auto" w:fill="auto"/>
            <w:noWrap/>
            <w:vAlign w:val="center"/>
          </w:tcPr>
          <w:p w14:paraId="73407658">
            <w:pPr>
              <w:widowControl/>
              <w:spacing w:line="240" w:lineRule="exact"/>
              <w:jc w:val="center"/>
              <w:rPr>
                <w:color w:val="000000"/>
                <w:sz w:val="15"/>
                <w:szCs w:val="15"/>
                <w:lang w:eastAsia="zh-CN"/>
              </w:rPr>
            </w:pPr>
            <w:r>
              <w:rPr>
                <w:rFonts w:hint="eastAsia"/>
                <w:color w:val="000000"/>
                <w:sz w:val="15"/>
                <w:szCs w:val="15"/>
                <w:lang w:eastAsia="zh-CN"/>
              </w:rPr>
              <w:t>创伤后应激障碍检查清单</w:t>
            </w:r>
          </w:p>
        </w:tc>
        <w:tc>
          <w:tcPr>
            <w:tcW w:w="567" w:type="dxa"/>
            <w:tcBorders>
              <w:top w:val="nil"/>
              <w:left w:val="nil"/>
              <w:bottom w:val="single" w:color="auto" w:sz="4" w:space="0"/>
              <w:right w:val="single" w:color="auto" w:sz="4" w:space="0"/>
            </w:tcBorders>
            <w:shd w:val="clear" w:color="auto" w:fill="auto"/>
            <w:noWrap/>
            <w:vAlign w:val="center"/>
          </w:tcPr>
          <w:p w14:paraId="08A8AF92">
            <w:pPr>
              <w:widowControl/>
              <w:spacing w:line="240" w:lineRule="exact"/>
              <w:jc w:val="center"/>
              <w:rPr>
                <w:color w:val="000000"/>
                <w:sz w:val="15"/>
                <w:szCs w:val="15"/>
              </w:rPr>
            </w:pPr>
            <w:r>
              <w:rPr>
                <w:rFonts w:hint="eastAsia"/>
                <w:color w:val="000000"/>
                <w:sz w:val="15"/>
                <w:szCs w:val="15"/>
              </w:rPr>
              <w:t>190</w:t>
            </w:r>
          </w:p>
        </w:tc>
        <w:tc>
          <w:tcPr>
            <w:tcW w:w="2551" w:type="dxa"/>
            <w:tcBorders>
              <w:top w:val="nil"/>
              <w:left w:val="nil"/>
              <w:bottom w:val="single" w:color="auto" w:sz="4" w:space="0"/>
              <w:right w:val="single" w:color="auto" w:sz="4" w:space="0"/>
            </w:tcBorders>
            <w:shd w:val="clear" w:color="auto" w:fill="auto"/>
            <w:noWrap/>
            <w:vAlign w:val="center"/>
          </w:tcPr>
          <w:p w14:paraId="3E8F8E84">
            <w:pPr>
              <w:widowControl/>
              <w:spacing w:line="240" w:lineRule="exact"/>
              <w:jc w:val="center"/>
              <w:rPr>
                <w:color w:val="000000"/>
                <w:sz w:val="15"/>
                <w:szCs w:val="15"/>
              </w:rPr>
            </w:pPr>
            <w:r>
              <w:rPr>
                <w:rFonts w:hint="eastAsia"/>
                <w:color w:val="000000"/>
                <w:sz w:val="15"/>
                <w:szCs w:val="15"/>
              </w:rPr>
              <w:t>大学生学习动机问卷</w:t>
            </w:r>
          </w:p>
        </w:tc>
      </w:tr>
      <w:tr w14:paraId="4A63231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27A0B33">
            <w:pPr>
              <w:widowControl/>
              <w:spacing w:line="240" w:lineRule="exact"/>
              <w:jc w:val="center"/>
              <w:rPr>
                <w:color w:val="000000"/>
                <w:sz w:val="15"/>
                <w:szCs w:val="15"/>
              </w:rPr>
            </w:pPr>
            <w:r>
              <w:rPr>
                <w:rFonts w:hint="eastAsia"/>
                <w:color w:val="000000"/>
                <w:sz w:val="15"/>
                <w:szCs w:val="15"/>
              </w:rPr>
              <w:t>55</w:t>
            </w:r>
          </w:p>
        </w:tc>
        <w:tc>
          <w:tcPr>
            <w:tcW w:w="2409" w:type="dxa"/>
            <w:tcBorders>
              <w:top w:val="nil"/>
              <w:left w:val="nil"/>
              <w:bottom w:val="single" w:color="auto" w:sz="4" w:space="0"/>
              <w:right w:val="single" w:color="auto" w:sz="4" w:space="0"/>
            </w:tcBorders>
            <w:shd w:val="clear" w:color="auto" w:fill="auto"/>
            <w:noWrap/>
            <w:vAlign w:val="center"/>
          </w:tcPr>
          <w:p w14:paraId="480A4E9D">
            <w:pPr>
              <w:widowControl/>
              <w:spacing w:line="240" w:lineRule="exact"/>
              <w:jc w:val="center"/>
              <w:rPr>
                <w:color w:val="000000"/>
                <w:sz w:val="15"/>
                <w:szCs w:val="15"/>
              </w:rPr>
            </w:pPr>
            <w:r>
              <w:rPr>
                <w:rFonts w:hint="eastAsia"/>
                <w:color w:val="000000"/>
                <w:sz w:val="15"/>
                <w:szCs w:val="15"/>
              </w:rPr>
              <w:t>艾森克性心理测验</w:t>
            </w:r>
          </w:p>
        </w:tc>
        <w:tc>
          <w:tcPr>
            <w:tcW w:w="441" w:type="dxa"/>
            <w:tcBorders>
              <w:top w:val="nil"/>
              <w:left w:val="nil"/>
              <w:bottom w:val="single" w:color="auto" w:sz="4" w:space="0"/>
              <w:right w:val="single" w:color="auto" w:sz="4" w:space="0"/>
            </w:tcBorders>
            <w:shd w:val="clear" w:color="auto" w:fill="auto"/>
            <w:noWrap/>
            <w:vAlign w:val="center"/>
          </w:tcPr>
          <w:p w14:paraId="4292F3E2">
            <w:pPr>
              <w:widowControl/>
              <w:spacing w:line="240" w:lineRule="exact"/>
              <w:jc w:val="center"/>
              <w:rPr>
                <w:color w:val="000000"/>
                <w:sz w:val="15"/>
                <w:szCs w:val="15"/>
              </w:rPr>
            </w:pPr>
            <w:r>
              <w:rPr>
                <w:rFonts w:hint="eastAsia"/>
                <w:color w:val="000000"/>
                <w:sz w:val="15"/>
                <w:szCs w:val="15"/>
              </w:rPr>
              <w:t>123</w:t>
            </w:r>
          </w:p>
        </w:tc>
        <w:tc>
          <w:tcPr>
            <w:tcW w:w="2678" w:type="dxa"/>
            <w:tcBorders>
              <w:top w:val="nil"/>
              <w:left w:val="nil"/>
              <w:bottom w:val="single" w:color="auto" w:sz="4" w:space="0"/>
              <w:right w:val="single" w:color="auto" w:sz="4" w:space="0"/>
            </w:tcBorders>
            <w:shd w:val="clear" w:color="auto" w:fill="auto"/>
            <w:noWrap/>
            <w:vAlign w:val="center"/>
          </w:tcPr>
          <w:p w14:paraId="7390FE01">
            <w:pPr>
              <w:widowControl/>
              <w:spacing w:line="240" w:lineRule="exact"/>
              <w:jc w:val="center"/>
              <w:rPr>
                <w:color w:val="000000"/>
                <w:sz w:val="15"/>
                <w:szCs w:val="15"/>
              </w:rPr>
            </w:pPr>
            <w:r>
              <w:rPr>
                <w:rFonts w:hint="eastAsia"/>
                <w:color w:val="000000"/>
                <w:sz w:val="15"/>
                <w:szCs w:val="15"/>
              </w:rPr>
              <w:t>人格诊断问卷</w:t>
            </w:r>
          </w:p>
        </w:tc>
        <w:tc>
          <w:tcPr>
            <w:tcW w:w="567" w:type="dxa"/>
            <w:tcBorders>
              <w:top w:val="nil"/>
              <w:left w:val="nil"/>
              <w:bottom w:val="single" w:color="auto" w:sz="4" w:space="0"/>
              <w:right w:val="single" w:color="auto" w:sz="4" w:space="0"/>
            </w:tcBorders>
            <w:shd w:val="clear" w:color="auto" w:fill="auto"/>
            <w:noWrap/>
            <w:vAlign w:val="center"/>
          </w:tcPr>
          <w:p w14:paraId="10D7020E">
            <w:pPr>
              <w:widowControl/>
              <w:spacing w:line="240" w:lineRule="exact"/>
              <w:jc w:val="center"/>
              <w:rPr>
                <w:color w:val="000000"/>
                <w:sz w:val="15"/>
                <w:szCs w:val="15"/>
              </w:rPr>
            </w:pPr>
            <w:r>
              <w:rPr>
                <w:rFonts w:hint="eastAsia"/>
                <w:color w:val="000000"/>
                <w:sz w:val="15"/>
                <w:szCs w:val="15"/>
              </w:rPr>
              <w:t>191</w:t>
            </w:r>
          </w:p>
        </w:tc>
        <w:tc>
          <w:tcPr>
            <w:tcW w:w="2551" w:type="dxa"/>
            <w:tcBorders>
              <w:top w:val="nil"/>
              <w:left w:val="nil"/>
              <w:bottom w:val="single" w:color="auto" w:sz="4" w:space="0"/>
              <w:right w:val="single" w:color="auto" w:sz="4" w:space="0"/>
            </w:tcBorders>
            <w:shd w:val="clear" w:color="auto" w:fill="auto"/>
            <w:noWrap/>
            <w:vAlign w:val="center"/>
          </w:tcPr>
          <w:p w14:paraId="2597B684">
            <w:pPr>
              <w:widowControl/>
              <w:spacing w:line="240" w:lineRule="exact"/>
              <w:jc w:val="center"/>
              <w:rPr>
                <w:color w:val="000000"/>
                <w:sz w:val="15"/>
                <w:szCs w:val="15"/>
                <w:lang w:eastAsia="zh-CN"/>
              </w:rPr>
            </w:pPr>
            <w:r>
              <w:rPr>
                <w:rFonts w:hint="eastAsia"/>
                <w:color w:val="000000"/>
                <w:sz w:val="15"/>
                <w:szCs w:val="15"/>
                <w:lang w:eastAsia="zh-CN"/>
              </w:rPr>
              <w:t>儿童多动症诊断标准量表</w:t>
            </w:r>
          </w:p>
        </w:tc>
      </w:tr>
      <w:tr w14:paraId="63C36376">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9D1D80C">
            <w:pPr>
              <w:widowControl/>
              <w:spacing w:line="240" w:lineRule="exact"/>
              <w:jc w:val="center"/>
              <w:rPr>
                <w:color w:val="000000"/>
                <w:sz w:val="15"/>
                <w:szCs w:val="15"/>
              </w:rPr>
            </w:pPr>
            <w:r>
              <w:rPr>
                <w:rFonts w:hint="eastAsia"/>
                <w:color w:val="000000"/>
                <w:sz w:val="15"/>
                <w:szCs w:val="15"/>
              </w:rPr>
              <w:t>56</w:t>
            </w:r>
          </w:p>
        </w:tc>
        <w:tc>
          <w:tcPr>
            <w:tcW w:w="2409" w:type="dxa"/>
            <w:tcBorders>
              <w:top w:val="nil"/>
              <w:left w:val="nil"/>
              <w:bottom w:val="single" w:color="auto" w:sz="4" w:space="0"/>
              <w:right w:val="single" w:color="auto" w:sz="4" w:space="0"/>
            </w:tcBorders>
            <w:shd w:val="clear" w:color="auto" w:fill="auto"/>
            <w:noWrap/>
            <w:vAlign w:val="center"/>
          </w:tcPr>
          <w:p w14:paraId="20F3577F">
            <w:pPr>
              <w:widowControl/>
              <w:spacing w:line="240" w:lineRule="exact"/>
              <w:jc w:val="center"/>
              <w:rPr>
                <w:color w:val="000000"/>
                <w:sz w:val="15"/>
                <w:szCs w:val="15"/>
              </w:rPr>
            </w:pPr>
            <w:r>
              <w:rPr>
                <w:rFonts w:hint="eastAsia"/>
                <w:color w:val="000000"/>
                <w:sz w:val="15"/>
                <w:szCs w:val="15"/>
              </w:rPr>
              <w:t>情绪-社交孤独问卷</w:t>
            </w:r>
          </w:p>
        </w:tc>
        <w:tc>
          <w:tcPr>
            <w:tcW w:w="441" w:type="dxa"/>
            <w:tcBorders>
              <w:top w:val="nil"/>
              <w:left w:val="nil"/>
              <w:bottom w:val="single" w:color="auto" w:sz="4" w:space="0"/>
              <w:right w:val="single" w:color="auto" w:sz="4" w:space="0"/>
            </w:tcBorders>
            <w:shd w:val="clear" w:color="auto" w:fill="auto"/>
            <w:noWrap/>
            <w:vAlign w:val="center"/>
          </w:tcPr>
          <w:p w14:paraId="6B587014">
            <w:pPr>
              <w:widowControl/>
              <w:spacing w:line="240" w:lineRule="exact"/>
              <w:jc w:val="center"/>
              <w:rPr>
                <w:color w:val="000000"/>
                <w:sz w:val="15"/>
                <w:szCs w:val="15"/>
              </w:rPr>
            </w:pPr>
            <w:r>
              <w:rPr>
                <w:rFonts w:hint="eastAsia"/>
                <w:color w:val="000000"/>
                <w:sz w:val="15"/>
                <w:szCs w:val="15"/>
              </w:rPr>
              <w:t>124</w:t>
            </w:r>
          </w:p>
        </w:tc>
        <w:tc>
          <w:tcPr>
            <w:tcW w:w="2678" w:type="dxa"/>
            <w:tcBorders>
              <w:top w:val="nil"/>
              <w:left w:val="nil"/>
              <w:bottom w:val="single" w:color="auto" w:sz="4" w:space="0"/>
              <w:right w:val="single" w:color="auto" w:sz="4" w:space="0"/>
            </w:tcBorders>
            <w:shd w:val="clear" w:color="auto" w:fill="auto"/>
            <w:noWrap/>
            <w:vAlign w:val="center"/>
          </w:tcPr>
          <w:p w14:paraId="1FB2CE62">
            <w:pPr>
              <w:widowControl/>
              <w:spacing w:line="240" w:lineRule="exact"/>
              <w:jc w:val="center"/>
              <w:rPr>
                <w:color w:val="000000"/>
                <w:sz w:val="15"/>
                <w:szCs w:val="15"/>
              </w:rPr>
            </w:pPr>
            <w:r>
              <w:rPr>
                <w:rFonts w:hint="eastAsia"/>
                <w:color w:val="000000"/>
                <w:sz w:val="15"/>
                <w:szCs w:val="15"/>
              </w:rPr>
              <w:t>惊恐障碍严重度量表</w:t>
            </w:r>
          </w:p>
        </w:tc>
        <w:tc>
          <w:tcPr>
            <w:tcW w:w="567" w:type="dxa"/>
            <w:tcBorders>
              <w:top w:val="nil"/>
              <w:left w:val="nil"/>
              <w:bottom w:val="single" w:color="auto" w:sz="4" w:space="0"/>
              <w:right w:val="single" w:color="auto" w:sz="4" w:space="0"/>
            </w:tcBorders>
            <w:shd w:val="clear" w:color="auto" w:fill="auto"/>
            <w:noWrap/>
            <w:vAlign w:val="center"/>
          </w:tcPr>
          <w:p w14:paraId="0C768AA0">
            <w:pPr>
              <w:widowControl/>
              <w:spacing w:line="240" w:lineRule="exact"/>
              <w:jc w:val="center"/>
              <w:rPr>
                <w:color w:val="000000"/>
                <w:sz w:val="15"/>
                <w:szCs w:val="15"/>
              </w:rPr>
            </w:pPr>
            <w:r>
              <w:rPr>
                <w:rFonts w:hint="eastAsia"/>
                <w:color w:val="000000"/>
                <w:sz w:val="15"/>
                <w:szCs w:val="15"/>
              </w:rPr>
              <w:t>192</w:t>
            </w:r>
          </w:p>
        </w:tc>
        <w:tc>
          <w:tcPr>
            <w:tcW w:w="2551" w:type="dxa"/>
            <w:tcBorders>
              <w:top w:val="nil"/>
              <w:left w:val="nil"/>
              <w:bottom w:val="single" w:color="auto" w:sz="4" w:space="0"/>
              <w:right w:val="single" w:color="auto" w:sz="4" w:space="0"/>
            </w:tcBorders>
            <w:shd w:val="clear" w:color="auto" w:fill="auto"/>
            <w:noWrap/>
            <w:vAlign w:val="center"/>
          </w:tcPr>
          <w:p w14:paraId="4774CA6E">
            <w:pPr>
              <w:widowControl/>
              <w:spacing w:line="240" w:lineRule="exact"/>
              <w:jc w:val="center"/>
              <w:rPr>
                <w:color w:val="000000"/>
                <w:sz w:val="15"/>
                <w:szCs w:val="15"/>
              </w:rPr>
            </w:pPr>
            <w:r>
              <w:rPr>
                <w:rFonts w:hint="eastAsia"/>
                <w:color w:val="000000"/>
                <w:sz w:val="15"/>
                <w:szCs w:val="15"/>
              </w:rPr>
              <w:t>工作压力测验量表</w:t>
            </w:r>
          </w:p>
        </w:tc>
      </w:tr>
      <w:tr w14:paraId="5B0FECCB">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6F4FD54">
            <w:pPr>
              <w:widowControl/>
              <w:spacing w:line="240" w:lineRule="exact"/>
              <w:jc w:val="center"/>
              <w:rPr>
                <w:color w:val="000000"/>
                <w:sz w:val="15"/>
                <w:szCs w:val="15"/>
              </w:rPr>
            </w:pPr>
            <w:r>
              <w:rPr>
                <w:rFonts w:hint="eastAsia"/>
                <w:color w:val="000000"/>
                <w:sz w:val="15"/>
                <w:szCs w:val="15"/>
              </w:rPr>
              <w:t>57</w:t>
            </w:r>
          </w:p>
        </w:tc>
        <w:tc>
          <w:tcPr>
            <w:tcW w:w="2409" w:type="dxa"/>
            <w:tcBorders>
              <w:top w:val="nil"/>
              <w:left w:val="nil"/>
              <w:bottom w:val="single" w:color="auto" w:sz="4" w:space="0"/>
              <w:right w:val="single" w:color="auto" w:sz="4" w:space="0"/>
            </w:tcBorders>
            <w:shd w:val="clear" w:color="auto" w:fill="auto"/>
            <w:noWrap/>
            <w:vAlign w:val="center"/>
          </w:tcPr>
          <w:p w14:paraId="55E1E989">
            <w:pPr>
              <w:widowControl/>
              <w:spacing w:line="240" w:lineRule="exact"/>
              <w:jc w:val="center"/>
              <w:rPr>
                <w:color w:val="000000"/>
                <w:sz w:val="15"/>
                <w:szCs w:val="15"/>
              </w:rPr>
            </w:pPr>
            <w:r>
              <w:rPr>
                <w:rFonts w:hint="eastAsia"/>
                <w:color w:val="000000"/>
                <w:sz w:val="15"/>
                <w:szCs w:val="15"/>
              </w:rPr>
              <w:t>Epworth 嗜睡量表</w:t>
            </w:r>
          </w:p>
        </w:tc>
        <w:tc>
          <w:tcPr>
            <w:tcW w:w="441" w:type="dxa"/>
            <w:tcBorders>
              <w:top w:val="nil"/>
              <w:left w:val="nil"/>
              <w:bottom w:val="single" w:color="auto" w:sz="4" w:space="0"/>
              <w:right w:val="single" w:color="auto" w:sz="4" w:space="0"/>
            </w:tcBorders>
            <w:shd w:val="clear" w:color="auto" w:fill="auto"/>
            <w:noWrap/>
            <w:vAlign w:val="center"/>
          </w:tcPr>
          <w:p w14:paraId="4B293C4C">
            <w:pPr>
              <w:widowControl/>
              <w:spacing w:line="240" w:lineRule="exact"/>
              <w:jc w:val="center"/>
              <w:rPr>
                <w:color w:val="000000"/>
                <w:sz w:val="15"/>
                <w:szCs w:val="15"/>
              </w:rPr>
            </w:pPr>
            <w:r>
              <w:rPr>
                <w:rFonts w:hint="eastAsia"/>
                <w:color w:val="000000"/>
                <w:sz w:val="15"/>
                <w:szCs w:val="15"/>
              </w:rPr>
              <w:t>125</w:t>
            </w:r>
          </w:p>
        </w:tc>
        <w:tc>
          <w:tcPr>
            <w:tcW w:w="2678" w:type="dxa"/>
            <w:tcBorders>
              <w:top w:val="nil"/>
              <w:left w:val="nil"/>
              <w:bottom w:val="single" w:color="auto" w:sz="4" w:space="0"/>
              <w:right w:val="single" w:color="auto" w:sz="4" w:space="0"/>
            </w:tcBorders>
            <w:shd w:val="clear" w:color="auto" w:fill="auto"/>
            <w:noWrap/>
            <w:vAlign w:val="center"/>
          </w:tcPr>
          <w:p w14:paraId="659E1472">
            <w:pPr>
              <w:widowControl/>
              <w:spacing w:line="240" w:lineRule="exact"/>
              <w:jc w:val="center"/>
              <w:rPr>
                <w:color w:val="000000"/>
                <w:sz w:val="15"/>
                <w:szCs w:val="15"/>
              </w:rPr>
            </w:pPr>
            <w:r>
              <w:rPr>
                <w:rFonts w:hint="eastAsia"/>
                <w:color w:val="000000"/>
                <w:sz w:val="15"/>
                <w:szCs w:val="15"/>
              </w:rPr>
              <w:t>自信度自我评价问卷</w:t>
            </w:r>
          </w:p>
        </w:tc>
        <w:tc>
          <w:tcPr>
            <w:tcW w:w="567" w:type="dxa"/>
            <w:tcBorders>
              <w:top w:val="nil"/>
              <w:left w:val="nil"/>
              <w:bottom w:val="single" w:color="auto" w:sz="4" w:space="0"/>
              <w:right w:val="single" w:color="auto" w:sz="4" w:space="0"/>
            </w:tcBorders>
            <w:shd w:val="clear" w:color="auto" w:fill="auto"/>
            <w:noWrap/>
            <w:vAlign w:val="center"/>
          </w:tcPr>
          <w:p w14:paraId="06AD6FBE">
            <w:pPr>
              <w:widowControl/>
              <w:spacing w:line="240" w:lineRule="exact"/>
              <w:jc w:val="center"/>
              <w:rPr>
                <w:color w:val="000000"/>
                <w:sz w:val="15"/>
                <w:szCs w:val="15"/>
              </w:rPr>
            </w:pPr>
            <w:r>
              <w:rPr>
                <w:rFonts w:hint="eastAsia"/>
                <w:color w:val="000000"/>
                <w:sz w:val="15"/>
                <w:szCs w:val="15"/>
              </w:rPr>
              <w:t>193</w:t>
            </w:r>
          </w:p>
        </w:tc>
        <w:tc>
          <w:tcPr>
            <w:tcW w:w="2551" w:type="dxa"/>
            <w:tcBorders>
              <w:top w:val="nil"/>
              <w:left w:val="nil"/>
              <w:bottom w:val="single" w:color="auto" w:sz="4" w:space="0"/>
              <w:right w:val="single" w:color="auto" w:sz="4" w:space="0"/>
            </w:tcBorders>
            <w:shd w:val="clear" w:color="auto" w:fill="auto"/>
            <w:noWrap/>
            <w:vAlign w:val="center"/>
          </w:tcPr>
          <w:p w14:paraId="052CB8A5">
            <w:pPr>
              <w:widowControl/>
              <w:spacing w:line="240" w:lineRule="exact"/>
              <w:jc w:val="center"/>
              <w:rPr>
                <w:color w:val="000000"/>
                <w:sz w:val="15"/>
                <w:szCs w:val="15"/>
                <w:lang w:eastAsia="zh-CN"/>
              </w:rPr>
            </w:pPr>
            <w:r>
              <w:rPr>
                <w:rFonts w:hint="eastAsia"/>
                <w:color w:val="000000"/>
                <w:sz w:val="15"/>
                <w:szCs w:val="15"/>
                <w:lang w:eastAsia="zh-CN"/>
              </w:rPr>
              <w:t>攻击风险因素评估量表</w:t>
            </w:r>
          </w:p>
        </w:tc>
      </w:tr>
      <w:tr w14:paraId="16A8468A">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521A80DC">
            <w:pPr>
              <w:widowControl/>
              <w:spacing w:line="240" w:lineRule="exact"/>
              <w:jc w:val="center"/>
              <w:rPr>
                <w:color w:val="000000"/>
                <w:sz w:val="15"/>
                <w:szCs w:val="15"/>
              </w:rPr>
            </w:pPr>
            <w:r>
              <w:rPr>
                <w:rFonts w:hint="eastAsia"/>
                <w:color w:val="000000"/>
                <w:sz w:val="15"/>
                <w:szCs w:val="15"/>
              </w:rPr>
              <w:t>58</w:t>
            </w:r>
          </w:p>
        </w:tc>
        <w:tc>
          <w:tcPr>
            <w:tcW w:w="2409" w:type="dxa"/>
            <w:tcBorders>
              <w:top w:val="nil"/>
              <w:left w:val="nil"/>
              <w:bottom w:val="single" w:color="auto" w:sz="4" w:space="0"/>
              <w:right w:val="single" w:color="auto" w:sz="4" w:space="0"/>
            </w:tcBorders>
            <w:shd w:val="clear" w:color="auto" w:fill="auto"/>
            <w:noWrap/>
            <w:vAlign w:val="center"/>
          </w:tcPr>
          <w:p w14:paraId="33B7346B">
            <w:pPr>
              <w:widowControl/>
              <w:spacing w:line="240" w:lineRule="exact"/>
              <w:jc w:val="center"/>
              <w:rPr>
                <w:color w:val="000000"/>
                <w:sz w:val="15"/>
                <w:szCs w:val="15"/>
              </w:rPr>
            </w:pPr>
            <w:r>
              <w:rPr>
                <w:rFonts w:hint="eastAsia"/>
                <w:color w:val="000000"/>
                <w:sz w:val="15"/>
                <w:szCs w:val="15"/>
              </w:rPr>
              <w:t>家庭环境量表中文版</w:t>
            </w:r>
          </w:p>
        </w:tc>
        <w:tc>
          <w:tcPr>
            <w:tcW w:w="441" w:type="dxa"/>
            <w:tcBorders>
              <w:top w:val="nil"/>
              <w:left w:val="nil"/>
              <w:bottom w:val="single" w:color="auto" w:sz="4" w:space="0"/>
              <w:right w:val="single" w:color="auto" w:sz="4" w:space="0"/>
            </w:tcBorders>
            <w:shd w:val="clear" w:color="auto" w:fill="auto"/>
            <w:noWrap/>
            <w:vAlign w:val="center"/>
          </w:tcPr>
          <w:p w14:paraId="2061A7E4">
            <w:pPr>
              <w:widowControl/>
              <w:spacing w:line="240" w:lineRule="exact"/>
              <w:jc w:val="center"/>
              <w:rPr>
                <w:color w:val="000000"/>
                <w:sz w:val="15"/>
                <w:szCs w:val="15"/>
              </w:rPr>
            </w:pPr>
            <w:r>
              <w:rPr>
                <w:rFonts w:hint="eastAsia"/>
                <w:color w:val="000000"/>
                <w:sz w:val="15"/>
                <w:szCs w:val="15"/>
              </w:rPr>
              <w:t>126</w:t>
            </w:r>
          </w:p>
        </w:tc>
        <w:tc>
          <w:tcPr>
            <w:tcW w:w="2678" w:type="dxa"/>
            <w:tcBorders>
              <w:top w:val="nil"/>
              <w:left w:val="nil"/>
              <w:bottom w:val="single" w:color="auto" w:sz="4" w:space="0"/>
              <w:right w:val="single" w:color="auto" w:sz="4" w:space="0"/>
            </w:tcBorders>
            <w:shd w:val="clear" w:color="auto" w:fill="auto"/>
            <w:noWrap/>
            <w:vAlign w:val="center"/>
          </w:tcPr>
          <w:p w14:paraId="2EC1EAFC">
            <w:pPr>
              <w:widowControl/>
              <w:spacing w:line="240" w:lineRule="exact"/>
              <w:jc w:val="center"/>
              <w:rPr>
                <w:color w:val="000000"/>
                <w:sz w:val="15"/>
                <w:szCs w:val="15"/>
              </w:rPr>
            </w:pPr>
            <w:r>
              <w:rPr>
                <w:rFonts w:hint="eastAsia"/>
                <w:color w:val="000000"/>
                <w:sz w:val="15"/>
                <w:szCs w:val="15"/>
              </w:rPr>
              <w:t>儿童自我意识量表</w:t>
            </w:r>
          </w:p>
        </w:tc>
        <w:tc>
          <w:tcPr>
            <w:tcW w:w="567" w:type="dxa"/>
            <w:tcBorders>
              <w:top w:val="nil"/>
              <w:left w:val="nil"/>
              <w:bottom w:val="single" w:color="auto" w:sz="4" w:space="0"/>
              <w:right w:val="single" w:color="auto" w:sz="4" w:space="0"/>
            </w:tcBorders>
            <w:shd w:val="clear" w:color="auto" w:fill="auto"/>
            <w:noWrap/>
            <w:vAlign w:val="center"/>
          </w:tcPr>
          <w:p w14:paraId="1BAB6E1F">
            <w:pPr>
              <w:widowControl/>
              <w:spacing w:line="240" w:lineRule="exact"/>
              <w:jc w:val="center"/>
              <w:rPr>
                <w:color w:val="000000"/>
                <w:sz w:val="15"/>
                <w:szCs w:val="15"/>
              </w:rPr>
            </w:pPr>
            <w:r>
              <w:rPr>
                <w:rFonts w:hint="eastAsia"/>
                <w:color w:val="000000"/>
                <w:sz w:val="15"/>
                <w:szCs w:val="15"/>
              </w:rPr>
              <w:t>194</w:t>
            </w:r>
          </w:p>
        </w:tc>
        <w:tc>
          <w:tcPr>
            <w:tcW w:w="2551" w:type="dxa"/>
            <w:tcBorders>
              <w:top w:val="nil"/>
              <w:left w:val="nil"/>
              <w:bottom w:val="single" w:color="auto" w:sz="4" w:space="0"/>
              <w:right w:val="single" w:color="auto" w:sz="4" w:space="0"/>
            </w:tcBorders>
            <w:shd w:val="clear" w:color="auto" w:fill="auto"/>
            <w:noWrap/>
            <w:vAlign w:val="center"/>
          </w:tcPr>
          <w:p w14:paraId="3C1A57E1">
            <w:pPr>
              <w:widowControl/>
              <w:spacing w:line="240" w:lineRule="exact"/>
              <w:jc w:val="center"/>
              <w:rPr>
                <w:color w:val="000000"/>
                <w:sz w:val="15"/>
                <w:szCs w:val="15"/>
                <w:lang w:eastAsia="zh-CN"/>
              </w:rPr>
            </w:pPr>
            <w:r>
              <w:rPr>
                <w:rFonts w:hint="eastAsia"/>
                <w:color w:val="000000"/>
                <w:sz w:val="15"/>
                <w:szCs w:val="15"/>
                <w:lang w:eastAsia="zh-CN"/>
              </w:rPr>
              <w:t>青少年上网成瘾自评量表</w:t>
            </w:r>
          </w:p>
        </w:tc>
      </w:tr>
      <w:tr w14:paraId="2884823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079074E9">
            <w:pPr>
              <w:widowControl/>
              <w:spacing w:line="240" w:lineRule="exact"/>
              <w:jc w:val="center"/>
              <w:rPr>
                <w:color w:val="000000"/>
                <w:sz w:val="15"/>
                <w:szCs w:val="15"/>
              </w:rPr>
            </w:pPr>
            <w:r>
              <w:rPr>
                <w:rFonts w:hint="eastAsia"/>
                <w:color w:val="000000"/>
                <w:sz w:val="15"/>
                <w:szCs w:val="15"/>
              </w:rPr>
              <w:t>59</w:t>
            </w:r>
          </w:p>
        </w:tc>
        <w:tc>
          <w:tcPr>
            <w:tcW w:w="2409" w:type="dxa"/>
            <w:tcBorders>
              <w:top w:val="nil"/>
              <w:left w:val="nil"/>
              <w:bottom w:val="single" w:color="auto" w:sz="4" w:space="0"/>
              <w:right w:val="single" w:color="auto" w:sz="4" w:space="0"/>
            </w:tcBorders>
            <w:shd w:val="clear" w:color="auto" w:fill="auto"/>
            <w:noWrap/>
            <w:vAlign w:val="center"/>
          </w:tcPr>
          <w:p w14:paraId="5EAA372E">
            <w:pPr>
              <w:widowControl/>
              <w:spacing w:line="240" w:lineRule="exact"/>
              <w:jc w:val="center"/>
              <w:rPr>
                <w:color w:val="000000"/>
                <w:sz w:val="15"/>
                <w:szCs w:val="15"/>
              </w:rPr>
            </w:pPr>
            <w:r>
              <w:rPr>
                <w:rFonts w:hint="eastAsia"/>
                <w:color w:val="000000"/>
                <w:sz w:val="15"/>
                <w:szCs w:val="15"/>
              </w:rPr>
              <w:t>家庭功能评定</w:t>
            </w:r>
          </w:p>
        </w:tc>
        <w:tc>
          <w:tcPr>
            <w:tcW w:w="441" w:type="dxa"/>
            <w:tcBorders>
              <w:top w:val="nil"/>
              <w:left w:val="nil"/>
              <w:bottom w:val="single" w:color="auto" w:sz="4" w:space="0"/>
              <w:right w:val="single" w:color="auto" w:sz="4" w:space="0"/>
            </w:tcBorders>
            <w:shd w:val="clear" w:color="auto" w:fill="auto"/>
            <w:noWrap/>
            <w:vAlign w:val="center"/>
          </w:tcPr>
          <w:p w14:paraId="376AC29D">
            <w:pPr>
              <w:widowControl/>
              <w:spacing w:line="240" w:lineRule="exact"/>
              <w:jc w:val="center"/>
              <w:rPr>
                <w:color w:val="000000"/>
                <w:sz w:val="15"/>
                <w:szCs w:val="15"/>
              </w:rPr>
            </w:pPr>
            <w:r>
              <w:rPr>
                <w:rFonts w:hint="eastAsia"/>
                <w:color w:val="000000"/>
                <w:sz w:val="15"/>
                <w:szCs w:val="15"/>
              </w:rPr>
              <w:t>127</w:t>
            </w:r>
          </w:p>
        </w:tc>
        <w:tc>
          <w:tcPr>
            <w:tcW w:w="2678" w:type="dxa"/>
            <w:tcBorders>
              <w:top w:val="nil"/>
              <w:left w:val="nil"/>
              <w:bottom w:val="single" w:color="auto" w:sz="4" w:space="0"/>
              <w:right w:val="single" w:color="auto" w:sz="4" w:space="0"/>
            </w:tcBorders>
            <w:shd w:val="clear" w:color="auto" w:fill="auto"/>
            <w:noWrap/>
            <w:vAlign w:val="center"/>
          </w:tcPr>
          <w:p w14:paraId="1D7A5B52">
            <w:pPr>
              <w:widowControl/>
              <w:spacing w:line="240" w:lineRule="exact"/>
              <w:jc w:val="center"/>
              <w:rPr>
                <w:color w:val="000000"/>
                <w:sz w:val="15"/>
                <w:szCs w:val="15"/>
              </w:rPr>
            </w:pPr>
            <w:r>
              <w:rPr>
                <w:rFonts w:hint="eastAsia"/>
                <w:color w:val="000000"/>
                <w:sz w:val="15"/>
                <w:szCs w:val="15"/>
              </w:rPr>
              <w:t>15 项躯体症状问卷</w:t>
            </w:r>
          </w:p>
        </w:tc>
        <w:tc>
          <w:tcPr>
            <w:tcW w:w="567" w:type="dxa"/>
            <w:tcBorders>
              <w:top w:val="nil"/>
              <w:left w:val="nil"/>
              <w:bottom w:val="single" w:color="auto" w:sz="4" w:space="0"/>
              <w:right w:val="single" w:color="auto" w:sz="4" w:space="0"/>
            </w:tcBorders>
            <w:shd w:val="clear" w:color="auto" w:fill="auto"/>
            <w:noWrap/>
            <w:vAlign w:val="center"/>
          </w:tcPr>
          <w:p w14:paraId="27E1DB4A">
            <w:pPr>
              <w:widowControl/>
              <w:spacing w:line="240" w:lineRule="exact"/>
              <w:jc w:val="center"/>
              <w:rPr>
                <w:color w:val="000000"/>
                <w:sz w:val="15"/>
                <w:szCs w:val="15"/>
              </w:rPr>
            </w:pPr>
            <w:r>
              <w:rPr>
                <w:rFonts w:hint="eastAsia"/>
                <w:color w:val="000000"/>
                <w:sz w:val="15"/>
                <w:szCs w:val="15"/>
              </w:rPr>
              <w:t>195</w:t>
            </w:r>
          </w:p>
        </w:tc>
        <w:tc>
          <w:tcPr>
            <w:tcW w:w="2551" w:type="dxa"/>
            <w:tcBorders>
              <w:top w:val="nil"/>
              <w:left w:val="nil"/>
              <w:bottom w:val="single" w:color="auto" w:sz="4" w:space="0"/>
              <w:right w:val="single" w:color="auto" w:sz="4" w:space="0"/>
            </w:tcBorders>
            <w:shd w:val="clear" w:color="auto" w:fill="auto"/>
            <w:noWrap/>
            <w:vAlign w:val="center"/>
          </w:tcPr>
          <w:p w14:paraId="434A79B1">
            <w:pPr>
              <w:widowControl/>
              <w:spacing w:line="240" w:lineRule="exact"/>
              <w:jc w:val="center"/>
              <w:rPr>
                <w:color w:val="000000"/>
                <w:sz w:val="15"/>
                <w:szCs w:val="15"/>
              </w:rPr>
            </w:pPr>
            <w:r>
              <w:rPr>
                <w:rFonts w:hint="eastAsia"/>
                <w:color w:val="000000"/>
                <w:sz w:val="15"/>
                <w:szCs w:val="15"/>
              </w:rPr>
              <w:t>青少年心理韧性量表</w:t>
            </w:r>
          </w:p>
        </w:tc>
      </w:tr>
      <w:tr w14:paraId="649C27F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CAA514C">
            <w:pPr>
              <w:widowControl/>
              <w:spacing w:line="240" w:lineRule="exact"/>
              <w:jc w:val="center"/>
              <w:rPr>
                <w:color w:val="000000"/>
                <w:sz w:val="15"/>
                <w:szCs w:val="15"/>
              </w:rPr>
            </w:pPr>
            <w:r>
              <w:rPr>
                <w:rFonts w:hint="eastAsia"/>
                <w:color w:val="000000"/>
                <w:sz w:val="15"/>
                <w:szCs w:val="15"/>
              </w:rPr>
              <w:t>60</w:t>
            </w:r>
          </w:p>
        </w:tc>
        <w:tc>
          <w:tcPr>
            <w:tcW w:w="2409" w:type="dxa"/>
            <w:tcBorders>
              <w:top w:val="nil"/>
              <w:left w:val="nil"/>
              <w:bottom w:val="single" w:color="auto" w:sz="4" w:space="0"/>
              <w:right w:val="single" w:color="auto" w:sz="4" w:space="0"/>
            </w:tcBorders>
            <w:shd w:val="clear" w:color="auto" w:fill="auto"/>
            <w:noWrap/>
            <w:vAlign w:val="center"/>
          </w:tcPr>
          <w:p w14:paraId="460539C3">
            <w:pPr>
              <w:widowControl/>
              <w:spacing w:line="240" w:lineRule="exact"/>
              <w:jc w:val="center"/>
              <w:rPr>
                <w:color w:val="000000"/>
                <w:sz w:val="15"/>
                <w:szCs w:val="15"/>
              </w:rPr>
            </w:pPr>
            <w:r>
              <w:rPr>
                <w:rFonts w:hint="eastAsia"/>
                <w:color w:val="000000"/>
                <w:sz w:val="15"/>
                <w:szCs w:val="15"/>
              </w:rPr>
              <w:t>疲劳评定量表</w:t>
            </w:r>
          </w:p>
        </w:tc>
        <w:tc>
          <w:tcPr>
            <w:tcW w:w="441" w:type="dxa"/>
            <w:tcBorders>
              <w:top w:val="nil"/>
              <w:left w:val="nil"/>
              <w:bottom w:val="single" w:color="auto" w:sz="4" w:space="0"/>
              <w:right w:val="single" w:color="auto" w:sz="4" w:space="0"/>
            </w:tcBorders>
            <w:shd w:val="clear" w:color="auto" w:fill="auto"/>
            <w:noWrap/>
            <w:vAlign w:val="center"/>
          </w:tcPr>
          <w:p w14:paraId="5D231F24">
            <w:pPr>
              <w:widowControl/>
              <w:spacing w:line="240" w:lineRule="exact"/>
              <w:jc w:val="center"/>
              <w:rPr>
                <w:color w:val="000000"/>
                <w:sz w:val="15"/>
                <w:szCs w:val="15"/>
              </w:rPr>
            </w:pPr>
            <w:r>
              <w:rPr>
                <w:rFonts w:hint="eastAsia"/>
                <w:color w:val="000000"/>
                <w:sz w:val="15"/>
                <w:szCs w:val="15"/>
              </w:rPr>
              <w:t>128</w:t>
            </w:r>
          </w:p>
        </w:tc>
        <w:tc>
          <w:tcPr>
            <w:tcW w:w="2678" w:type="dxa"/>
            <w:tcBorders>
              <w:top w:val="nil"/>
              <w:left w:val="nil"/>
              <w:bottom w:val="single" w:color="auto" w:sz="4" w:space="0"/>
              <w:right w:val="single" w:color="auto" w:sz="4" w:space="0"/>
            </w:tcBorders>
            <w:shd w:val="clear" w:color="auto" w:fill="auto"/>
            <w:noWrap/>
            <w:vAlign w:val="center"/>
          </w:tcPr>
          <w:p w14:paraId="24BB8C82">
            <w:pPr>
              <w:widowControl/>
              <w:spacing w:line="240" w:lineRule="exact"/>
              <w:jc w:val="center"/>
              <w:rPr>
                <w:color w:val="000000"/>
                <w:sz w:val="15"/>
                <w:szCs w:val="15"/>
              </w:rPr>
            </w:pPr>
            <w:r>
              <w:rPr>
                <w:rFonts w:hint="eastAsia"/>
                <w:color w:val="000000"/>
                <w:sz w:val="15"/>
                <w:szCs w:val="15"/>
              </w:rPr>
              <w:t>9 项患者健康问卷</w:t>
            </w:r>
          </w:p>
        </w:tc>
        <w:tc>
          <w:tcPr>
            <w:tcW w:w="567" w:type="dxa"/>
            <w:tcBorders>
              <w:top w:val="nil"/>
              <w:left w:val="nil"/>
              <w:bottom w:val="single" w:color="auto" w:sz="4" w:space="0"/>
              <w:right w:val="single" w:color="auto" w:sz="4" w:space="0"/>
            </w:tcBorders>
            <w:shd w:val="clear" w:color="auto" w:fill="auto"/>
            <w:noWrap/>
            <w:vAlign w:val="center"/>
          </w:tcPr>
          <w:p w14:paraId="6541C880">
            <w:pPr>
              <w:widowControl/>
              <w:spacing w:line="240" w:lineRule="exact"/>
              <w:jc w:val="center"/>
              <w:rPr>
                <w:color w:val="000000"/>
                <w:sz w:val="15"/>
                <w:szCs w:val="15"/>
              </w:rPr>
            </w:pPr>
            <w:r>
              <w:rPr>
                <w:rFonts w:hint="eastAsia"/>
                <w:color w:val="000000"/>
                <w:sz w:val="15"/>
                <w:szCs w:val="15"/>
              </w:rPr>
              <w:t>196</w:t>
            </w:r>
          </w:p>
        </w:tc>
        <w:tc>
          <w:tcPr>
            <w:tcW w:w="2551" w:type="dxa"/>
            <w:tcBorders>
              <w:top w:val="nil"/>
              <w:left w:val="nil"/>
              <w:bottom w:val="single" w:color="auto" w:sz="4" w:space="0"/>
              <w:right w:val="single" w:color="auto" w:sz="4" w:space="0"/>
            </w:tcBorders>
            <w:shd w:val="clear" w:color="auto" w:fill="auto"/>
            <w:noWrap/>
            <w:vAlign w:val="center"/>
          </w:tcPr>
          <w:p w14:paraId="2BC2707D">
            <w:pPr>
              <w:widowControl/>
              <w:spacing w:line="240" w:lineRule="exact"/>
              <w:jc w:val="center"/>
              <w:rPr>
                <w:color w:val="000000"/>
                <w:sz w:val="15"/>
                <w:szCs w:val="15"/>
              </w:rPr>
            </w:pPr>
            <w:r>
              <w:rPr>
                <w:rFonts w:hint="eastAsia"/>
                <w:color w:val="000000"/>
                <w:sz w:val="15"/>
                <w:szCs w:val="15"/>
              </w:rPr>
              <w:t>青少年学习倦怠量表</w:t>
            </w:r>
          </w:p>
        </w:tc>
      </w:tr>
      <w:tr w14:paraId="55729F10">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71637B5">
            <w:pPr>
              <w:widowControl/>
              <w:spacing w:line="240" w:lineRule="exact"/>
              <w:jc w:val="center"/>
              <w:rPr>
                <w:color w:val="000000"/>
                <w:sz w:val="15"/>
                <w:szCs w:val="15"/>
              </w:rPr>
            </w:pPr>
            <w:r>
              <w:rPr>
                <w:rFonts w:hint="eastAsia"/>
                <w:color w:val="000000"/>
                <w:sz w:val="15"/>
                <w:szCs w:val="15"/>
              </w:rPr>
              <w:t>61</w:t>
            </w:r>
          </w:p>
        </w:tc>
        <w:tc>
          <w:tcPr>
            <w:tcW w:w="2409" w:type="dxa"/>
            <w:tcBorders>
              <w:top w:val="nil"/>
              <w:left w:val="nil"/>
              <w:bottom w:val="single" w:color="auto" w:sz="4" w:space="0"/>
              <w:right w:val="single" w:color="auto" w:sz="4" w:space="0"/>
            </w:tcBorders>
            <w:shd w:val="clear" w:color="auto" w:fill="auto"/>
            <w:noWrap/>
            <w:vAlign w:val="center"/>
          </w:tcPr>
          <w:p w14:paraId="4F516F5C">
            <w:pPr>
              <w:widowControl/>
              <w:spacing w:line="240" w:lineRule="exact"/>
              <w:jc w:val="center"/>
              <w:rPr>
                <w:color w:val="000000"/>
                <w:sz w:val="15"/>
                <w:szCs w:val="15"/>
              </w:rPr>
            </w:pPr>
            <w:r>
              <w:rPr>
                <w:rFonts w:hint="eastAsia"/>
                <w:color w:val="000000"/>
                <w:sz w:val="15"/>
                <w:szCs w:val="15"/>
              </w:rPr>
              <w:t>家庭环境量表中文版</w:t>
            </w:r>
          </w:p>
        </w:tc>
        <w:tc>
          <w:tcPr>
            <w:tcW w:w="441" w:type="dxa"/>
            <w:tcBorders>
              <w:top w:val="nil"/>
              <w:left w:val="nil"/>
              <w:bottom w:val="single" w:color="auto" w:sz="4" w:space="0"/>
              <w:right w:val="single" w:color="auto" w:sz="4" w:space="0"/>
            </w:tcBorders>
            <w:shd w:val="clear" w:color="auto" w:fill="auto"/>
            <w:noWrap/>
            <w:vAlign w:val="center"/>
          </w:tcPr>
          <w:p w14:paraId="6FAABC1A">
            <w:pPr>
              <w:widowControl/>
              <w:spacing w:line="240" w:lineRule="exact"/>
              <w:jc w:val="center"/>
              <w:rPr>
                <w:color w:val="000000"/>
                <w:sz w:val="15"/>
                <w:szCs w:val="15"/>
              </w:rPr>
            </w:pPr>
            <w:r>
              <w:rPr>
                <w:rFonts w:hint="eastAsia"/>
                <w:color w:val="000000"/>
                <w:sz w:val="15"/>
                <w:szCs w:val="15"/>
              </w:rPr>
              <w:t>129</w:t>
            </w:r>
          </w:p>
        </w:tc>
        <w:tc>
          <w:tcPr>
            <w:tcW w:w="2678" w:type="dxa"/>
            <w:tcBorders>
              <w:top w:val="nil"/>
              <w:left w:val="nil"/>
              <w:bottom w:val="single" w:color="auto" w:sz="4" w:space="0"/>
              <w:right w:val="single" w:color="auto" w:sz="4" w:space="0"/>
            </w:tcBorders>
            <w:shd w:val="clear" w:color="auto" w:fill="auto"/>
            <w:noWrap/>
            <w:vAlign w:val="center"/>
          </w:tcPr>
          <w:p w14:paraId="3559F964">
            <w:pPr>
              <w:widowControl/>
              <w:spacing w:line="240" w:lineRule="exact"/>
              <w:jc w:val="center"/>
              <w:rPr>
                <w:color w:val="000000"/>
                <w:sz w:val="15"/>
                <w:szCs w:val="15"/>
              </w:rPr>
            </w:pPr>
            <w:r>
              <w:rPr>
                <w:rFonts w:hint="eastAsia"/>
                <w:color w:val="000000"/>
                <w:sz w:val="15"/>
                <w:szCs w:val="15"/>
              </w:rPr>
              <w:t>子女教育心理控制源量表</w:t>
            </w:r>
          </w:p>
        </w:tc>
        <w:tc>
          <w:tcPr>
            <w:tcW w:w="567" w:type="dxa"/>
            <w:tcBorders>
              <w:top w:val="nil"/>
              <w:left w:val="nil"/>
              <w:bottom w:val="single" w:color="auto" w:sz="4" w:space="0"/>
              <w:right w:val="single" w:color="auto" w:sz="4" w:space="0"/>
            </w:tcBorders>
            <w:shd w:val="clear" w:color="auto" w:fill="auto"/>
            <w:noWrap/>
            <w:vAlign w:val="center"/>
          </w:tcPr>
          <w:p w14:paraId="202F3733">
            <w:pPr>
              <w:widowControl/>
              <w:spacing w:line="240" w:lineRule="exact"/>
              <w:jc w:val="center"/>
              <w:rPr>
                <w:color w:val="000000"/>
                <w:sz w:val="15"/>
                <w:szCs w:val="15"/>
              </w:rPr>
            </w:pPr>
            <w:r>
              <w:rPr>
                <w:rFonts w:hint="eastAsia"/>
                <w:color w:val="000000"/>
                <w:sz w:val="15"/>
                <w:szCs w:val="15"/>
              </w:rPr>
              <w:t>197</w:t>
            </w:r>
          </w:p>
        </w:tc>
        <w:tc>
          <w:tcPr>
            <w:tcW w:w="2551" w:type="dxa"/>
            <w:tcBorders>
              <w:top w:val="nil"/>
              <w:left w:val="nil"/>
              <w:bottom w:val="single" w:color="auto" w:sz="4" w:space="0"/>
              <w:right w:val="single" w:color="auto" w:sz="4" w:space="0"/>
            </w:tcBorders>
            <w:shd w:val="clear" w:color="auto" w:fill="auto"/>
            <w:noWrap/>
            <w:vAlign w:val="center"/>
          </w:tcPr>
          <w:p w14:paraId="1C51E414">
            <w:pPr>
              <w:widowControl/>
              <w:spacing w:line="240" w:lineRule="exact"/>
              <w:jc w:val="center"/>
              <w:rPr>
                <w:color w:val="000000"/>
                <w:sz w:val="15"/>
                <w:szCs w:val="15"/>
              </w:rPr>
            </w:pPr>
            <w:r>
              <w:rPr>
                <w:rFonts w:hint="eastAsia"/>
                <w:color w:val="000000"/>
                <w:sz w:val="15"/>
                <w:szCs w:val="15"/>
              </w:rPr>
              <w:t>社会适应性自评问卷</w:t>
            </w:r>
          </w:p>
        </w:tc>
      </w:tr>
      <w:tr w14:paraId="42C856E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15F40CA4">
            <w:pPr>
              <w:widowControl/>
              <w:spacing w:line="240" w:lineRule="exact"/>
              <w:jc w:val="center"/>
              <w:rPr>
                <w:color w:val="000000"/>
                <w:sz w:val="15"/>
                <w:szCs w:val="15"/>
              </w:rPr>
            </w:pPr>
            <w:r>
              <w:rPr>
                <w:rFonts w:hint="eastAsia"/>
                <w:color w:val="000000"/>
                <w:sz w:val="15"/>
                <w:szCs w:val="15"/>
              </w:rPr>
              <w:t>62</w:t>
            </w:r>
          </w:p>
        </w:tc>
        <w:tc>
          <w:tcPr>
            <w:tcW w:w="2409" w:type="dxa"/>
            <w:tcBorders>
              <w:top w:val="nil"/>
              <w:left w:val="nil"/>
              <w:bottom w:val="single" w:color="auto" w:sz="4" w:space="0"/>
              <w:right w:val="single" w:color="auto" w:sz="4" w:space="0"/>
            </w:tcBorders>
            <w:shd w:val="clear" w:color="auto" w:fill="auto"/>
            <w:noWrap/>
            <w:vAlign w:val="center"/>
          </w:tcPr>
          <w:p w14:paraId="1ED0E3D8">
            <w:pPr>
              <w:widowControl/>
              <w:spacing w:line="240" w:lineRule="exact"/>
              <w:jc w:val="center"/>
              <w:rPr>
                <w:color w:val="000000"/>
                <w:sz w:val="15"/>
                <w:szCs w:val="15"/>
              </w:rPr>
            </w:pPr>
            <w:r>
              <w:rPr>
                <w:rFonts w:hint="eastAsia"/>
                <w:color w:val="000000"/>
                <w:sz w:val="15"/>
                <w:szCs w:val="15"/>
              </w:rPr>
              <w:t>惧怕否定评价量表</w:t>
            </w:r>
          </w:p>
        </w:tc>
        <w:tc>
          <w:tcPr>
            <w:tcW w:w="441" w:type="dxa"/>
            <w:tcBorders>
              <w:top w:val="nil"/>
              <w:left w:val="nil"/>
              <w:bottom w:val="single" w:color="auto" w:sz="4" w:space="0"/>
              <w:right w:val="single" w:color="auto" w:sz="4" w:space="0"/>
            </w:tcBorders>
            <w:shd w:val="clear" w:color="auto" w:fill="auto"/>
            <w:noWrap/>
            <w:vAlign w:val="center"/>
          </w:tcPr>
          <w:p w14:paraId="5985DDFF">
            <w:pPr>
              <w:widowControl/>
              <w:spacing w:line="240" w:lineRule="exact"/>
              <w:jc w:val="center"/>
              <w:rPr>
                <w:color w:val="000000"/>
                <w:sz w:val="15"/>
                <w:szCs w:val="15"/>
              </w:rPr>
            </w:pPr>
            <w:r>
              <w:rPr>
                <w:rFonts w:hint="eastAsia"/>
                <w:color w:val="000000"/>
                <w:sz w:val="15"/>
                <w:szCs w:val="15"/>
              </w:rPr>
              <w:t>130</w:t>
            </w:r>
          </w:p>
        </w:tc>
        <w:tc>
          <w:tcPr>
            <w:tcW w:w="2678" w:type="dxa"/>
            <w:tcBorders>
              <w:top w:val="nil"/>
              <w:left w:val="nil"/>
              <w:bottom w:val="single" w:color="auto" w:sz="4" w:space="0"/>
              <w:right w:val="single" w:color="auto" w:sz="4" w:space="0"/>
            </w:tcBorders>
            <w:shd w:val="clear" w:color="auto" w:fill="auto"/>
            <w:noWrap/>
            <w:vAlign w:val="center"/>
          </w:tcPr>
          <w:p w14:paraId="75F84FF9">
            <w:pPr>
              <w:widowControl/>
              <w:spacing w:line="240" w:lineRule="exact"/>
              <w:jc w:val="center"/>
              <w:rPr>
                <w:color w:val="000000"/>
                <w:sz w:val="15"/>
                <w:szCs w:val="15"/>
              </w:rPr>
            </w:pPr>
            <w:r>
              <w:rPr>
                <w:rFonts w:hint="eastAsia"/>
                <w:color w:val="000000"/>
                <w:sz w:val="15"/>
                <w:szCs w:val="15"/>
              </w:rPr>
              <w:t>交流恐惧自陈量表</w:t>
            </w:r>
          </w:p>
        </w:tc>
        <w:tc>
          <w:tcPr>
            <w:tcW w:w="567" w:type="dxa"/>
            <w:tcBorders>
              <w:top w:val="nil"/>
              <w:left w:val="nil"/>
              <w:bottom w:val="single" w:color="auto" w:sz="4" w:space="0"/>
              <w:right w:val="single" w:color="auto" w:sz="4" w:space="0"/>
            </w:tcBorders>
            <w:shd w:val="clear" w:color="auto" w:fill="auto"/>
            <w:noWrap/>
            <w:vAlign w:val="center"/>
          </w:tcPr>
          <w:p w14:paraId="65897836">
            <w:pPr>
              <w:widowControl/>
              <w:spacing w:line="240" w:lineRule="exact"/>
              <w:jc w:val="center"/>
              <w:rPr>
                <w:color w:val="000000"/>
                <w:sz w:val="15"/>
                <w:szCs w:val="15"/>
              </w:rPr>
            </w:pPr>
            <w:r>
              <w:rPr>
                <w:rFonts w:hint="eastAsia"/>
                <w:color w:val="000000"/>
                <w:sz w:val="15"/>
                <w:szCs w:val="15"/>
              </w:rPr>
              <w:t>198</w:t>
            </w:r>
          </w:p>
        </w:tc>
        <w:tc>
          <w:tcPr>
            <w:tcW w:w="2551" w:type="dxa"/>
            <w:tcBorders>
              <w:top w:val="nil"/>
              <w:left w:val="nil"/>
              <w:bottom w:val="single" w:color="auto" w:sz="4" w:space="0"/>
              <w:right w:val="single" w:color="auto" w:sz="4" w:space="0"/>
            </w:tcBorders>
            <w:shd w:val="clear" w:color="auto" w:fill="auto"/>
            <w:noWrap/>
            <w:vAlign w:val="center"/>
          </w:tcPr>
          <w:p w14:paraId="659C0C5B">
            <w:pPr>
              <w:widowControl/>
              <w:spacing w:line="240" w:lineRule="exact"/>
              <w:jc w:val="center"/>
              <w:rPr>
                <w:color w:val="000000"/>
                <w:sz w:val="15"/>
                <w:szCs w:val="15"/>
              </w:rPr>
            </w:pPr>
            <w:r>
              <w:rPr>
                <w:rFonts w:hint="eastAsia"/>
                <w:color w:val="000000"/>
                <w:sz w:val="15"/>
                <w:szCs w:val="15"/>
              </w:rPr>
              <w:t>社会支持评定量表</w:t>
            </w:r>
          </w:p>
        </w:tc>
      </w:tr>
      <w:tr w14:paraId="042EE05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6E6EDE3">
            <w:pPr>
              <w:widowControl/>
              <w:spacing w:line="240" w:lineRule="exact"/>
              <w:jc w:val="center"/>
              <w:rPr>
                <w:color w:val="000000"/>
                <w:sz w:val="15"/>
                <w:szCs w:val="15"/>
              </w:rPr>
            </w:pPr>
            <w:r>
              <w:rPr>
                <w:rFonts w:hint="eastAsia"/>
                <w:color w:val="000000"/>
                <w:sz w:val="15"/>
                <w:szCs w:val="15"/>
              </w:rPr>
              <w:t>63</w:t>
            </w:r>
          </w:p>
        </w:tc>
        <w:tc>
          <w:tcPr>
            <w:tcW w:w="2409" w:type="dxa"/>
            <w:tcBorders>
              <w:top w:val="nil"/>
              <w:left w:val="nil"/>
              <w:bottom w:val="single" w:color="auto" w:sz="4" w:space="0"/>
              <w:right w:val="single" w:color="auto" w:sz="4" w:space="0"/>
            </w:tcBorders>
            <w:shd w:val="clear" w:color="auto" w:fill="auto"/>
            <w:noWrap/>
            <w:vAlign w:val="center"/>
          </w:tcPr>
          <w:p w14:paraId="7A1D981D">
            <w:pPr>
              <w:widowControl/>
              <w:spacing w:line="240" w:lineRule="exact"/>
              <w:jc w:val="center"/>
              <w:rPr>
                <w:color w:val="000000"/>
                <w:sz w:val="15"/>
                <w:szCs w:val="15"/>
              </w:rPr>
            </w:pPr>
            <w:r>
              <w:rPr>
                <w:rFonts w:hint="eastAsia"/>
                <w:color w:val="000000"/>
                <w:sz w:val="15"/>
                <w:szCs w:val="15"/>
              </w:rPr>
              <w:t>疲劳量表-14</w:t>
            </w:r>
          </w:p>
        </w:tc>
        <w:tc>
          <w:tcPr>
            <w:tcW w:w="441" w:type="dxa"/>
            <w:tcBorders>
              <w:top w:val="nil"/>
              <w:left w:val="nil"/>
              <w:bottom w:val="single" w:color="auto" w:sz="4" w:space="0"/>
              <w:right w:val="single" w:color="auto" w:sz="4" w:space="0"/>
            </w:tcBorders>
            <w:shd w:val="clear" w:color="auto" w:fill="auto"/>
            <w:noWrap/>
            <w:vAlign w:val="center"/>
          </w:tcPr>
          <w:p w14:paraId="74CAC997">
            <w:pPr>
              <w:widowControl/>
              <w:spacing w:line="240" w:lineRule="exact"/>
              <w:jc w:val="center"/>
              <w:rPr>
                <w:color w:val="000000"/>
                <w:sz w:val="15"/>
                <w:szCs w:val="15"/>
              </w:rPr>
            </w:pPr>
            <w:r>
              <w:rPr>
                <w:rFonts w:hint="eastAsia"/>
                <w:color w:val="000000"/>
                <w:sz w:val="15"/>
                <w:szCs w:val="15"/>
              </w:rPr>
              <w:t>131</w:t>
            </w:r>
          </w:p>
        </w:tc>
        <w:tc>
          <w:tcPr>
            <w:tcW w:w="2678" w:type="dxa"/>
            <w:tcBorders>
              <w:top w:val="nil"/>
              <w:left w:val="nil"/>
              <w:bottom w:val="single" w:color="auto" w:sz="4" w:space="0"/>
              <w:right w:val="single" w:color="auto" w:sz="4" w:space="0"/>
            </w:tcBorders>
            <w:shd w:val="clear" w:color="auto" w:fill="auto"/>
            <w:noWrap/>
            <w:vAlign w:val="center"/>
          </w:tcPr>
          <w:p w14:paraId="34990496">
            <w:pPr>
              <w:widowControl/>
              <w:spacing w:line="240" w:lineRule="exact"/>
              <w:jc w:val="center"/>
              <w:rPr>
                <w:color w:val="000000"/>
                <w:sz w:val="15"/>
                <w:szCs w:val="15"/>
              </w:rPr>
            </w:pPr>
            <w:r>
              <w:rPr>
                <w:rFonts w:hint="eastAsia"/>
                <w:color w:val="000000"/>
                <w:sz w:val="15"/>
                <w:szCs w:val="15"/>
              </w:rPr>
              <w:t>儿童学习障碍量表</w:t>
            </w:r>
          </w:p>
        </w:tc>
        <w:tc>
          <w:tcPr>
            <w:tcW w:w="567" w:type="dxa"/>
            <w:tcBorders>
              <w:top w:val="nil"/>
              <w:left w:val="nil"/>
              <w:bottom w:val="single" w:color="auto" w:sz="4" w:space="0"/>
              <w:right w:val="single" w:color="auto" w:sz="4" w:space="0"/>
            </w:tcBorders>
            <w:shd w:val="clear" w:color="auto" w:fill="auto"/>
            <w:noWrap/>
            <w:vAlign w:val="center"/>
          </w:tcPr>
          <w:p w14:paraId="7CB27875">
            <w:pPr>
              <w:widowControl/>
              <w:spacing w:line="240" w:lineRule="exact"/>
              <w:jc w:val="center"/>
              <w:rPr>
                <w:color w:val="000000"/>
                <w:sz w:val="15"/>
                <w:szCs w:val="15"/>
              </w:rPr>
            </w:pPr>
            <w:r>
              <w:rPr>
                <w:rFonts w:hint="eastAsia"/>
                <w:color w:val="000000"/>
                <w:sz w:val="15"/>
                <w:szCs w:val="15"/>
              </w:rPr>
              <w:t>199</w:t>
            </w:r>
          </w:p>
        </w:tc>
        <w:tc>
          <w:tcPr>
            <w:tcW w:w="2551" w:type="dxa"/>
            <w:tcBorders>
              <w:top w:val="nil"/>
              <w:left w:val="nil"/>
              <w:bottom w:val="single" w:color="auto" w:sz="4" w:space="0"/>
              <w:right w:val="single" w:color="auto" w:sz="4" w:space="0"/>
            </w:tcBorders>
            <w:shd w:val="clear" w:color="auto" w:fill="auto"/>
            <w:noWrap/>
            <w:vAlign w:val="center"/>
          </w:tcPr>
          <w:p w14:paraId="39EEF201">
            <w:pPr>
              <w:widowControl/>
              <w:spacing w:line="240" w:lineRule="exact"/>
              <w:jc w:val="center"/>
              <w:rPr>
                <w:color w:val="000000"/>
                <w:sz w:val="15"/>
                <w:szCs w:val="15"/>
              </w:rPr>
            </w:pPr>
            <w:r>
              <w:rPr>
                <w:rFonts w:hint="eastAsia"/>
                <w:color w:val="000000"/>
                <w:sz w:val="15"/>
                <w:szCs w:val="15"/>
              </w:rPr>
              <w:t>五分量表</w:t>
            </w:r>
          </w:p>
        </w:tc>
      </w:tr>
      <w:tr w14:paraId="604E1583">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621B43EF">
            <w:pPr>
              <w:widowControl/>
              <w:spacing w:line="240" w:lineRule="exact"/>
              <w:jc w:val="center"/>
              <w:rPr>
                <w:color w:val="000000"/>
                <w:sz w:val="15"/>
                <w:szCs w:val="15"/>
              </w:rPr>
            </w:pPr>
            <w:r>
              <w:rPr>
                <w:rFonts w:hint="eastAsia"/>
                <w:color w:val="000000"/>
                <w:sz w:val="15"/>
                <w:szCs w:val="15"/>
              </w:rPr>
              <w:t>64</w:t>
            </w:r>
          </w:p>
        </w:tc>
        <w:tc>
          <w:tcPr>
            <w:tcW w:w="2409" w:type="dxa"/>
            <w:tcBorders>
              <w:top w:val="nil"/>
              <w:left w:val="nil"/>
              <w:bottom w:val="single" w:color="auto" w:sz="4" w:space="0"/>
              <w:right w:val="single" w:color="auto" w:sz="4" w:space="0"/>
            </w:tcBorders>
            <w:shd w:val="clear" w:color="auto" w:fill="auto"/>
            <w:noWrap/>
            <w:vAlign w:val="center"/>
          </w:tcPr>
          <w:p w14:paraId="49FD0D06">
            <w:pPr>
              <w:widowControl/>
              <w:spacing w:line="240" w:lineRule="exact"/>
              <w:jc w:val="center"/>
              <w:rPr>
                <w:color w:val="000000"/>
                <w:sz w:val="15"/>
                <w:szCs w:val="15"/>
              </w:rPr>
            </w:pPr>
            <w:r>
              <w:rPr>
                <w:rFonts w:hint="eastAsia"/>
                <w:color w:val="000000"/>
                <w:sz w:val="15"/>
                <w:szCs w:val="15"/>
              </w:rPr>
              <w:t>疲劳严重度量表</w:t>
            </w:r>
          </w:p>
        </w:tc>
        <w:tc>
          <w:tcPr>
            <w:tcW w:w="441" w:type="dxa"/>
            <w:tcBorders>
              <w:top w:val="nil"/>
              <w:left w:val="nil"/>
              <w:bottom w:val="single" w:color="auto" w:sz="4" w:space="0"/>
              <w:right w:val="single" w:color="auto" w:sz="4" w:space="0"/>
            </w:tcBorders>
            <w:shd w:val="clear" w:color="auto" w:fill="auto"/>
            <w:noWrap/>
            <w:vAlign w:val="center"/>
          </w:tcPr>
          <w:p w14:paraId="6A129F45">
            <w:pPr>
              <w:widowControl/>
              <w:spacing w:line="240" w:lineRule="exact"/>
              <w:jc w:val="center"/>
              <w:rPr>
                <w:color w:val="000000"/>
                <w:sz w:val="15"/>
                <w:szCs w:val="15"/>
              </w:rPr>
            </w:pPr>
            <w:r>
              <w:rPr>
                <w:rFonts w:hint="eastAsia"/>
                <w:color w:val="000000"/>
                <w:sz w:val="15"/>
                <w:szCs w:val="15"/>
              </w:rPr>
              <w:t>132</w:t>
            </w:r>
          </w:p>
        </w:tc>
        <w:tc>
          <w:tcPr>
            <w:tcW w:w="2678" w:type="dxa"/>
            <w:tcBorders>
              <w:top w:val="nil"/>
              <w:left w:val="nil"/>
              <w:bottom w:val="single" w:color="auto" w:sz="4" w:space="0"/>
              <w:right w:val="single" w:color="auto" w:sz="4" w:space="0"/>
            </w:tcBorders>
            <w:shd w:val="clear" w:color="auto" w:fill="auto"/>
            <w:noWrap/>
            <w:vAlign w:val="center"/>
          </w:tcPr>
          <w:p w14:paraId="70E34234">
            <w:pPr>
              <w:widowControl/>
              <w:spacing w:line="240" w:lineRule="exact"/>
              <w:jc w:val="center"/>
              <w:rPr>
                <w:color w:val="000000"/>
                <w:sz w:val="15"/>
                <w:szCs w:val="15"/>
              </w:rPr>
            </w:pPr>
            <w:r>
              <w:rPr>
                <w:rFonts w:hint="eastAsia"/>
                <w:color w:val="000000"/>
                <w:sz w:val="15"/>
                <w:szCs w:val="15"/>
              </w:rPr>
              <w:t>个人和社会功能量表</w:t>
            </w:r>
          </w:p>
        </w:tc>
        <w:tc>
          <w:tcPr>
            <w:tcW w:w="567" w:type="dxa"/>
            <w:tcBorders>
              <w:top w:val="nil"/>
              <w:left w:val="nil"/>
              <w:bottom w:val="single" w:color="auto" w:sz="4" w:space="0"/>
              <w:right w:val="single" w:color="auto" w:sz="4" w:space="0"/>
            </w:tcBorders>
            <w:shd w:val="clear" w:color="auto" w:fill="auto"/>
            <w:noWrap/>
            <w:vAlign w:val="center"/>
          </w:tcPr>
          <w:p w14:paraId="31658435">
            <w:pPr>
              <w:widowControl/>
              <w:spacing w:line="240" w:lineRule="exact"/>
              <w:jc w:val="center"/>
              <w:rPr>
                <w:color w:val="000000"/>
                <w:sz w:val="15"/>
                <w:szCs w:val="15"/>
              </w:rPr>
            </w:pPr>
            <w:r>
              <w:rPr>
                <w:rFonts w:hint="eastAsia"/>
                <w:color w:val="000000"/>
                <w:sz w:val="15"/>
                <w:szCs w:val="15"/>
              </w:rPr>
              <w:t>200</w:t>
            </w:r>
          </w:p>
        </w:tc>
        <w:tc>
          <w:tcPr>
            <w:tcW w:w="2551" w:type="dxa"/>
            <w:tcBorders>
              <w:top w:val="nil"/>
              <w:left w:val="nil"/>
              <w:bottom w:val="single" w:color="auto" w:sz="4" w:space="0"/>
              <w:right w:val="single" w:color="auto" w:sz="4" w:space="0"/>
            </w:tcBorders>
            <w:shd w:val="clear" w:color="auto" w:fill="auto"/>
            <w:noWrap/>
            <w:vAlign w:val="center"/>
          </w:tcPr>
          <w:p w14:paraId="7BCAABF6">
            <w:pPr>
              <w:widowControl/>
              <w:spacing w:line="240" w:lineRule="exact"/>
              <w:jc w:val="center"/>
              <w:rPr>
                <w:color w:val="000000"/>
                <w:sz w:val="15"/>
                <w:szCs w:val="15"/>
              </w:rPr>
            </w:pPr>
            <w:r>
              <w:rPr>
                <w:rFonts w:hint="eastAsia"/>
                <w:color w:val="000000"/>
                <w:sz w:val="15"/>
                <w:szCs w:val="15"/>
              </w:rPr>
              <w:t>压力小测验</w:t>
            </w:r>
          </w:p>
        </w:tc>
      </w:tr>
      <w:tr w14:paraId="038B2D7D">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4E5A7400">
            <w:pPr>
              <w:widowControl/>
              <w:spacing w:line="240" w:lineRule="exact"/>
              <w:jc w:val="center"/>
              <w:rPr>
                <w:color w:val="000000"/>
                <w:sz w:val="15"/>
                <w:szCs w:val="15"/>
              </w:rPr>
            </w:pPr>
            <w:r>
              <w:rPr>
                <w:rFonts w:hint="eastAsia"/>
                <w:color w:val="000000"/>
                <w:sz w:val="15"/>
                <w:szCs w:val="15"/>
              </w:rPr>
              <w:t>65</w:t>
            </w:r>
          </w:p>
        </w:tc>
        <w:tc>
          <w:tcPr>
            <w:tcW w:w="2409" w:type="dxa"/>
            <w:tcBorders>
              <w:top w:val="nil"/>
              <w:left w:val="nil"/>
              <w:bottom w:val="single" w:color="auto" w:sz="4" w:space="0"/>
              <w:right w:val="single" w:color="auto" w:sz="4" w:space="0"/>
            </w:tcBorders>
            <w:shd w:val="clear" w:color="auto" w:fill="auto"/>
            <w:noWrap/>
            <w:vAlign w:val="center"/>
          </w:tcPr>
          <w:p w14:paraId="63CC6550">
            <w:pPr>
              <w:widowControl/>
              <w:spacing w:line="240" w:lineRule="exact"/>
              <w:jc w:val="center"/>
              <w:rPr>
                <w:color w:val="000000"/>
                <w:sz w:val="15"/>
                <w:szCs w:val="15"/>
                <w:lang w:eastAsia="zh-CN"/>
              </w:rPr>
            </w:pPr>
            <w:r>
              <w:rPr>
                <w:rFonts w:hint="eastAsia"/>
                <w:color w:val="000000"/>
                <w:sz w:val="15"/>
                <w:szCs w:val="15"/>
                <w:lang w:eastAsia="zh-CN"/>
              </w:rPr>
              <w:t>7 项广泛性焦虑障碍量表</w:t>
            </w:r>
          </w:p>
        </w:tc>
        <w:tc>
          <w:tcPr>
            <w:tcW w:w="441" w:type="dxa"/>
            <w:tcBorders>
              <w:top w:val="nil"/>
              <w:left w:val="nil"/>
              <w:bottom w:val="single" w:color="auto" w:sz="4" w:space="0"/>
              <w:right w:val="single" w:color="auto" w:sz="4" w:space="0"/>
            </w:tcBorders>
            <w:shd w:val="clear" w:color="auto" w:fill="auto"/>
            <w:noWrap/>
            <w:vAlign w:val="center"/>
          </w:tcPr>
          <w:p w14:paraId="1D4D8E54">
            <w:pPr>
              <w:widowControl/>
              <w:spacing w:line="240" w:lineRule="exact"/>
              <w:jc w:val="center"/>
              <w:rPr>
                <w:color w:val="000000"/>
                <w:sz w:val="15"/>
                <w:szCs w:val="15"/>
              </w:rPr>
            </w:pPr>
            <w:r>
              <w:rPr>
                <w:rFonts w:hint="eastAsia"/>
                <w:color w:val="000000"/>
                <w:sz w:val="15"/>
                <w:szCs w:val="15"/>
              </w:rPr>
              <w:t>133</w:t>
            </w:r>
          </w:p>
        </w:tc>
        <w:tc>
          <w:tcPr>
            <w:tcW w:w="2678" w:type="dxa"/>
            <w:tcBorders>
              <w:top w:val="nil"/>
              <w:left w:val="nil"/>
              <w:bottom w:val="single" w:color="auto" w:sz="4" w:space="0"/>
              <w:right w:val="single" w:color="auto" w:sz="4" w:space="0"/>
            </w:tcBorders>
            <w:shd w:val="clear" w:color="auto" w:fill="auto"/>
            <w:noWrap/>
            <w:vAlign w:val="center"/>
          </w:tcPr>
          <w:p w14:paraId="457F90A6">
            <w:pPr>
              <w:widowControl/>
              <w:spacing w:line="240" w:lineRule="exact"/>
              <w:jc w:val="center"/>
              <w:rPr>
                <w:color w:val="000000"/>
                <w:sz w:val="15"/>
                <w:szCs w:val="15"/>
                <w:lang w:eastAsia="zh-CN"/>
              </w:rPr>
            </w:pPr>
            <w:r>
              <w:rPr>
                <w:rFonts w:hint="eastAsia"/>
                <w:color w:val="000000"/>
                <w:sz w:val="15"/>
                <w:szCs w:val="15"/>
                <w:lang w:eastAsia="zh-CN"/>
              </w:rPr>
              <w:t>匹兹堡睡眠质量指数量表</w:t>
            </w:r>
          </w:p>
        </w:tc>
        <w:tc>
          <w:tcPr>
            <w:tcW w:w="567" w:type="dxa"/>
            <w:tcBorders>
              <w:top w:val="nil"/>
              <w:left w:val="nil"/>
              <w:bottom w:val="single" w:color="auto" w:sz="4" w:space="0"/>
              <w:right w:val="single" w:color="auto" w:sz="4" w:space="0"/>
            </w:tcBorders>
            <w:shd w:val="clear" w:color="auto" w:fill="auto"/>
            <w:noWrap/>
            <w:vAlign w:val="center"/>
          </w:tcPr>
          <w:p w14:paraId="4B1B82DF">
            <w:pPr>
              <w:widowControl/>
              <w:spacing w:line="240" w:lineRule="exact"/>
              <w:jc w:val="center"/>
              <w:rPr>
                <w:color w:val="000000"/>
                <w:sz w:val="15"/>
                <w:szCs w:val="15"/>
              </w:rPr>
            </w:pPr>
            <w:r>
              <w:rPr>
                <w:rFonts w:hint="eastAsia"/>
                <w:color w:val="000000"/>
                <w:sz w:val="15"/>
                <w:szCs w:val="15"/>
              </w:rPr>
              <w:t>201</w:t>
            </w:r>
          </w:p>
        </w:tc>
        <w:tc>
          <w:tcPr>
            <w:tcW w:w="2551" w:type="dxa"/>
            <w:tcBorders>
              <w:top w:val="nil"/>
              <w:left w:val="nil"/>
              <w:bottom w:val="single" w:color="auto" w:sz="4" w:space="0"/>
              <w:right w:val="single" w:color="auto" w:sz="4" w:space="0"/>
            </w:tcBorders>
            <w:shd w:val="clear" w:color="auto" w:fill="auto"/>
            <w:noWrap/>
            <w:vAlign w:val="center"/>
          </w:tcPr>
          <w:p w14:paraId="68724BA8">
            <w:pPr>
              <w:widowControl/>
              <w:spacing w:line="240" w:lineRule="exact"/>
              <w:jc w:val="center"/>
              <w:rPr>
                <w:color w:val="000000"/>
                <w:sz w:val="15"/>
                <w:szCs w:val="15"/>
                <w:lang w:eastAsia="zh-CN"/>
              </w:rPr>
            </w:pPr>
            <w:r>
              <w:rPr>
                <w:rFonts w:hint="eastAsia"/>
                <w:color w:val="000000"/>
                <w:sz w:val="15"/>
                <w:szCs w:val="15"/>
                <w:lang w:eastAsia="zh-CN"/>
              </w:rPr>
              <w:t>员工工作压力来源调查</w:t>
            </w:r>
          </w:p>
        </w:tc>
      </w:tr>
      <w:tr w14:paraId="5E49DC1F">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3FA98A2A">
            <w:pPr>
              <w:widowControl/>
              <w:spacing w:line="240" w:lineRule="exact"/>
              <w:jc w:val="center"/>
              <w:rPr>
                <w:color w:val="000000"/>
                <w:sz w:val="15"/>
                <w:szCs w:val="15"/>
              </w:rPr>
            </w:pPr>
            <w:r>
              <w:rPr>
                <w:rFonts w:hint="eastAsia"/>
                <w:color w:val="000000"/>
                <w:sz w:val="15"/>
                <w:szCs w:val="15"/>
              </w:rPr>
              <w:t>66</w:t>
            </w:r>
          </w:p>
        </w:tc>
        <w:tc>
          <w:tcPr>
            <w:tcW w:w="2409" w:type="dxa"/>
            <w:tcBorders>
              <w:top w:val="nil"/>
              <w:left w:val="nil"/>
              <w:bottom w:val="single" w:color="auto" w:sz="4" w:space="0"/>
              <w:right w:val="single" w:color="auto" w:sz="4" w:space="0"/>
            </w:tcBorders>
            <w:shd w:val="clear" w:color="auto" w:fill="auto"/>
            <w:noWrap/>
            <w:vAlign w:val="center"/>
          </w:tcPr>
          <w:p w14:paraId="75CBEE47">
            <w:pPr>
              <w:widowControl/>
              <w:spacing w:line="240" w:lineRule="exact"/>
              <w:jc w:val="center"/>
              <w:rPr>
                <w:color w:val="000000"/>
                <w:sz w:val="15"/>
                <w:szCs w:val="15"/>
              </w:rPr>
            </w:pPr>
            <w:r>
              <w:rPr>
                <w:rFonts w:hint="eastAsia"/>
                <w:color w:val="000000"/>
                <w:sz w:val="15"/>
                <w:szCs w:val="15"/>
              </w:rPr>
              <w:t>老年谵妄检查表</w:t>
            </w:r>
          </w:p>
        </w:tc>
        <w:tc>
          <w:tcPr>
            <w:tcW w:w="441" w:type="dxa"/>
            <w:tcBorders>
              <w:top w:val="nil"/>
              <w:left w:val="nil"/>
              <w:bottom w:val="single" w:color="auto" w:sz="4" w:space="0"/>
              <w:right w:val="single" w:color="auto" w:sz="4" w:space="0"/>
            </w:tcBorders>
            <w:shd w:val="clear" w:color="auto" w:fill="auto"/>
            <w:noWrap/>
            <w:vAlign w:val="center"/>
          </w:tcPr>
          <w:p w14:paraId="3DC97CCE">
            <w:pPr>
              <w:widowControl/>
              <w:spacing w:line="240" w:lineRule="exact"/>
              <w:jc w:val="center"/>
              <w:rPr>
                <w:color w:val="000000"/>
                <w:sz w:val="15"/>
                <w:szCs w:val="15"/>
              </w:rPr>
            </w:pPr>
            <w:r>
              <w:rPr>
                <w:rFonts w:hint="eastAsia"/>
                <w:color w:val="000000"/>
                <w:sz w:val="15"/>
                <w:szCs w:val="15"/>
              </w:rPr>
              <w:t>134</w:t>
            </w:r>
          </w:p>
        </w:tc>
        <w:tc>
          <w:tcPr>
            <w:tcW w:w="2678" w:type="dxa"/>
            <w:tcBorders>
              <w:top w:val="nil"/>
              <w:left w:val="nil"/>
              <w:bottom w:val="single" w:color="auto" w:sz="4" w:space="0"/>
              <w:right w:val="single" w:color="auto" w:sz="4" w:space="0"/>
            </w:tcBorders>
            <w:shd w:val="clear" w:color="auto" w:fill="auto"/>
            <w:noWrap/>
            <w:vAlign w:val="center"/>
          </w:tcPr>
          <w:p w14:paraId="39C4B58E">
            <w:pPr>
              <w:widowControl/>
              <w:spacing w:line="240" w:lineRule="exact"/>
              <w:jc w:val="center"/>
              <w:rPr>
                <w:color w:val="000000"/>
                <w:sz w:val="15"/>
                <w:szCs w:val="15"/>
              </w:rPr>
            </w:pPr>
            <w:r>
              <w:rPr>
                <w:rFonts w:hint="eastAsia"/>
                <w:color w:val="000000"/>
                <w:sz w:val="15"/>
                <w:szCs w:val="15"/>
              </w:rPr>
              <w:t>儿童气质量表</w:t>
            </w:r>
          </w:p>
        </w:tc>
        <w:tc>
          <w:tcPr>
            <w:tcW w:w="567" w:type="dxa"/>
            <w:tcBorders>
              <w:top w:val="nil"/>
              <w:left w:val="nil"/>
              <w:bottom w:val="single" w:color="auto" w:sz="4" w:space="0"/>
              <w:right w:val="single" w:color="auto" w:sz="4" w:space="0"/>
            </w:tcBorders>
            <w:shd w:val="clear" w:color="auto" w:fill="auto"/>
            <w:noWrap/>
            <w:vAlign w:val="center"/>
          </w:tcPr>
          <w:p w14:paraId="3D444620">
            <w:pPr>
              <w:widowControl/>
              <w:spacing w:line="240" w:lineRule="exact"/>
              <w:jc w:val="center"/>
              <w:rPr>
                <w:color w:val="000000"/>
                <w:sz w:val="15"/>
                <w:szCs w:val="15"/>
              </w:rPr>
            </w:pPr>
            <w:r>
              <w:rPr>
                <w:rFonts w:hint="eastAsia"/>
                <w:color w:val="000000"/>
                <w:sz w:val="15"/>
                <w:szCs w:val="15"/>
              </w:rPr>
              <w:t>202</w:t>
            </w:r>
          </w:p>
        </w:tc>
        <w:tc>
          <w:tcPr>
            <w:tcW w:w="2551" w:type="dxa"/>
            <w:tcBorders>
              <w:top w:val="nil"/>
              <w:left w:val="nil"/>
              <w:bottom w:val="single" w:color="auto" w:sz="4" w:space="0"/>
              <w:right w:val="single" w:color="auto" w:sz="4" w:space="0"/>
            </w:tcBorders>
            <w:shd w:val="clear" w:color="auto" w:fill="auto"/>
            <w:noWrap/>
            <w:vAlign w:val="center"/>
          </w:tcPr>
          <w:p w14:paraId="3369E869">
            <w:pPr>
              <w:widowControl/>
              <w:spacing w:line="240" w:lineRule="exact"/>
              <w:jc w:val="center"/>
              <w:rPr>
                <w:color w:val="000000"/>
                <w:sz w:val="15"/>
                <w:szCs w:val="15"/>
              </w:rPr>
            </w:pPr>
            <w:r>
              <w:rPr>
                <w:rFonts w:hint="eastAsia"/>
                <w:color w:val="000000"/>
                <w:sz w:val="15"/>
                <w:szCs w:val="15"/>
              </w:rPr>
              <w:t>职业兴趣调查问卷</w:t>
            </w:r>
          </w:p>
        </w:tc>
      </w:tr>
      <w:tr w14:paraId="13869C9C">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20517E63">
            <w:pPr>
              <w:widowControl/>
              <w:spacing w:line="240" w:lineRule="exact"/>
              <w:jc w:val="center"/>
              <w:rPr>
                <w:color w:val="000000"/>
                <w:sz w:val="15"/>
                <w:szCs w:val="15"/>
              </w:rPr>
            </w:pPr>
            <w:r>
              <w:rPr>
                <w:rFonts w:hint="eastAsia"/>
                <w:color w:val="000000"/>
                <w:sz w:val="15"/>
                <w:szCs w:val="15"/>
              </w:rPr>
              <w:t>67</w:t>
            </w:r>
          </w:p>
        </w:tc>
        <w:tc>
          <w:tcPr>
            <w:tcW w:w="2409" w:type="dxa"/>
            <w:tcBorders>
              <w:top w:val="nil"/>
              <w:left w:val="nil"/>
              <w:bottom w:val="single" w:color="auto" w:sz="4" w:space="0"/>
              <w:right w:val="single" w:color="auto" w:sz="4" w:space="0"/>
            </w:tcBorders>
            <w:shd w:val="clear" w:color="auto" w:fill="auto"/>
            <w:noWrap/>
            <w:vAlign w:val="center"/>
          </w:tcPr>
          <w:p w14:paraId="1EBB8F11">
            <w:pPr>
              <w:widowControl/>
              <w:spacing w:line="240" w:lineRule="exact"/>
              <w:jc w:val="center"/>
              <w:rPr>
                <w:color w:val="000000"/>
                <w:sz w:val="15"/>
                <w:szCs w:val="15"/>
              </w:rPr>
            </w:pPr>
            <w:r>
              <w:rPr>
                <w:rFonts w:hint="eastAsia"/>
                <w:color w:val="000000"/>
                <w:sz w:val="15"/>
                <w:szCs w:val="15"/>
              </w:rPr>
              <w:t>老年抑郁量表</w:t>
            </w:r>
          </w:p>
        </w:tc>
        <w:tc>
          <w:tcPr>
            <w:tcW w:w="441" w:type="dxa"/>
            <w:tcBorders>
              <w:top w:val="nil"/>
              <w:left w:val="nil"/>
              <w:bottom w:val="single" w:color="auto" w:sz="4" w:space="0"/>
              <w:right w:val="single" w:color="auto" w:sz="4" w:space="0"/>
            </w:tcBorders>
            <w:shd w:val="clear" w:color="auto" w:fill="auto"/>
            <w:noWrap/>
            <w:vAlign w:val="center"/>
          </w:tcPr>
          <w:p w14:paraId="5D244644">
            <w:pPr>
              <w:widowControl/>
              <w:spacing w:line="240" w:lineRule="exact"/>
              <w:jc w:val="center"/>
              <w:rPr>
                <w:color w:val="000000"/>
                <w:sz w:val="15"/>
                <w:szCs w:val="15"/>
              </w:rPr>
            </w:pPr>
            <w:r>
              <w:rPr>
                <w:rFonts w:hint="eastAsia"/>
                <w:color w:val="000000"/>
                <w:sz w:val="15"/>
                <w:szCs w:val="15"/>
              </w:rPr>
              <w:t>135</w:t>
            </w:r>
          </w:p>
        </w:tc>
        <w:tc>
          <w:tcPr>
            <w:tcW w:w="2678" w:type="dxa"/>
            <w:tcBorders>
              <w:top w:val="nil"/>
              <w:left w:val="nil"/>
              <w:bottom w:val="single" w:color="auto" w:sz="4" w:space="0"/>
              <w:right w:val="single" w:color="auto" w:sz="4" w:space="0"/>
            </w:tcBorders>
            <w:shd w:val="clear" w:color="auto" w:fill="auto"/>
            <w:noWrap/>
            <w:vAlign w:val="center"/>
          </w:tcPr>
          <w:p w14:paraId="5D196E1B">
            <w:pPr>
              <w:widowControl/>
              <w:spacing w:line="240" w:lineRule="exact"/>
              <w:jc w:val="center"/>
              <w:rPr>
                <w:color w:val="000000"/>
                <w:sz w:val="15"/>
                <w:szCs w:val="15"/>
                <w:lang w:eastAsia="zh-CN"/>
              </w:rPr>
            </w:pPr>
            <w:r>
              <w:rPr>
                <w:rFonts w:hint="eastAsia"/>
                <w:color w:val="000000"/>
                <w:sz w:val="15"/>
                <w:szCs w:val="15"/>
                <w:lang w:eastAsia="zh-CN"/>
              </w:rPr>
              <w:t>儿童感觉统合能力发展评定量表</w:t>
            </w:r>
          </w:p>
        </w:tc>
        <w:tc>
          <w:tcPr>
            <w:tcW w:w="567" w:type="dxa"/>
            <w:tcBorders>
              <w:top w:val="nil"/>
              <w:left w:val="nil"/>
              <w:bottom w:val="single" w:color="auto" w:sz="4" w:space="0"/>
              <w:right w:val="single" w:color="auto" w:sz="4" w:space="0"/>
            </w:tcBorders>
            <w:shd w:val="clear" w:color="auto" w:fill="auto"/>
            <w:noWrap/>
            <w:vAlign w:val="center"/>
          </w:tcPr>
          <w:p w14:paraId="1AEC8750">
            <w:pPr>
              <w:widowControl/>
              <w:spacing w:line="240" w:lineRule="exact"/>
              <w:jc w:val="center"/>
              <w:rPr>
                <w:color w:val="000000"/>
                <w:sz w:val="15"/>
                <w:szCs w:val="15"/>
              </w:rPr>
            </w:pPr>
            <w:r>
              <w:rPr>
                <w:rFonts w:hint="eastAsia"/>
                <w:color w:val="000000"/>
                <w:sz w:val="15"/>
                <w:szCs w:val="15"/>
              </w:rPr>
              <w:t>203</w:t>
            </w:r>
          </w:p>
        </w:tc>
        <w:tc>
          <w:tcPr>
            <w:tcW w:w="2551" w:type="dxa"/>
            <w:tcBorders>
              <w:top w:val="nil"/>
              <w:left w:val="nil"/>
              <w:bottom w:val="single" w:color="auto" w:sz="4" w:space="0"/>
              <w:right w:val="single" w:color="auto" w:sz="4" w:space="0"/>
            </w:tcBorders>
            <w:shd w:val="clear" w:color="auto" w:fill="auto"/>
            <w:noWrap/>
            <w:vAlign w:val="center"/>
          </w:tcPr>
          <w:p w14:paraId="10608BDE">
            <w:pPr>
              <w:widowControl/>
              <w:spacing w:line="240" w:lineRule="exact"/>
              <w:jc w:val="center"/>
              <w:rPr>
                <w:color w:val="000000"/>
                <w:sz w:val="15"/>
                <w:szCs w:val="15"/>
                <w:lang w:eastAsia="zh-CN"/>
              </w:rPr>
            </w:pPr>
            <w:r>
              <w:rPr>
                <w:rFonts w:hint="eastAsia"/>
                <w:color w:val="000000"/>
                <w:sz w:val="15"/>
                <w:szCs w:val="15"/>
                <w:lang w:eastAsia="zh-CN"/>
              </w:rPr>
              <w:t>中学生网络成瘾诊断量表</w:t>
            </w:r>
          </w:p>
        </w:tc>
      </w:tr>
      <w:tr w14:paraId="2DA1ED35">
        <w:tblPrEx>
          <w:tblCellMar>
            <w:top w:w="0" w:type="dxa"/>
            <w:left w:w="108" w:type="dxa"/>
            <w:bottom w:w="0" w:type="dxa"/>
            <w:right w:w="108" w:type="dxa"/>
          </w:tblCellMar>
        </w:tblPrEx>
        <w:trPr>
          <w:trHeight w:val="20" w:hRule="atLeast"/>
        </w:trPr>
        <w:tc>
          <w:tcPr>
            <w:tcW w:w="421" w:type="dxa"/>
            <w:tcBorders>
              <w:top w:val="nil"/>
              <w:left w:val="single" w:color="auto" w:sz="4" w:space="0"/>
              <w:bottom w:val="single" w:color="auto" w:sz="4" w:space="0"/>
              <w:right w:val="single" w:color="auto" w:sz="4" w:space="0"/>
            </w:tcBorders>
            <w:shd w:val="clear" w:color="auto" w:fill="auto"/>
            <w:noWrap/>
            <w:vAlign w:val="center"/>
          </w:tcPr>
          <w:p w14:paraId="784E3F2D">
            <w:pPr>
              <w:widowControl/>
              <w:spacing w:line="240" w:lineRule="exact"/>
              <w:jc w:val="center"/>
              <w:rPr>
                <w:color w:val="000000"/>
                <w:sz w:val="15"/>
                <w:szCs w:val="15"/>
              </w:rPr>
            </w:pPr>
            <w:r>
              <w:rPr>
                <w:rFonts w:hint="eastAsia"/>
                <w:color w:val="000000"/>
                <w:sz w:val="15"/>
                <w:szCs w:val="15"/>
              </w:rPr>
              <w:t>68</w:t>
            </w:r>
          </w:p>
        </w:tc>
        <w:tc>
          <w:tcPr>
            <w:tcW w:w="2409" w:type="dxa"/>
            <w:tcBorders>
              <w:top w:val="nil"/>
              <w:left w:val="nil"/>
              <w:bottom w:val="single" w:color="auto" w:sz="4" w:space="0"/>
              <w:right w:val="single" w:color="auto" w:sz="4" w:space="0"/>
            </w:tcBorders>
            <w:shd w:val="clear" w:color="auto" w:fill="auto"/>
            <w:noWrap/>
            <w:vAlign w:val="center"/>
          </w:tcPr>
          <w:p w14:paraId="15423406">
            <w:pPr>
              <w:widowControl/>
              <w:spacing w:line="240" w:lineRule="exact"/>
              <w:jc w:val="center"/>
              <w:rPr>
                <w:color w:val="000000"/>
                <w:sz w:val="15"/>
                <w:szCs w:val="15"/>
              </w:rPr>
            </w:pPr>
            <w:r>
              <w:rPr>
                <w:rFonts w:hint="eastAsia"/>
                <w:color w:val="000000"/>
                <w:sz w:val="15"/>
                <w:szCs w:val="15"/>
              </w:rPr>
              <w:t>全面衰退量表</w:t>
            </w:r>
          </w:p>
        </w:tc>
        <w:tc>
          <w:tcPr>
            <w:tcW w:w="441" w:type="dxa"/>
            <w:tcBorders>
              <w:top w:val="nil"/>
              <w:left w:val="nil"/>
              <w:bottom w:val="single" w:color="auto" w:sz="4" w:space="0"/>
              <w:right w:val="single" w:color="auto" w:sz="4" w:space="0"/>
            </w:tcBorders>
            <w:shd w:val="clear" w:color="auto" w:fill="auto"/>
            <w:noWrap/>
            <w:vAlign w:val="center"/>
          </w:tcPr>
          <w:p w14:paraId="380DDA7F">
            <w:pPr>
              <w:widowControl/>
              <w:spacing w:line="240" w:lineRule="exact"/>
              <w:jc w:val="center"/>
              <w:rPr>
                <w:color w:val="000000"/>
                <w:sz w:val="15"/>
                <w:szCs w:val="15"/>
              </w:rPr>
            </w:pPr>
            <w:r>
              <w:rPr>
                <w:rFonts w:hint="eastAsia"/>
                <w:color w:val="000000"/>
                <w:sz w:val="15"/>
                <w:szCs w:val="15"/>
              </w:rPr>
              <w:t>136</w:t>
            </w:r>
          </w:p>
        </w:tc>
        <w:tc>
          <w:tcPr>
            <w:tcW w:w="2678" w:type="dxa"/>
            <w:tcBorders>
              <w:top w:val="nil"/>
              <w:left w:val="nil"/>
              <w:bottom w:val="single" w:color="auto" w:sz="4" w:space="0"/>
              <w:right w:val="single" w:color="auto" w:sz="4" w:space="0"/>
            </w:tcBorders>
            <w:shd w:val="clear" w:color="auto" w:fill="auto"/>
            <w:noWrap/>
            <w:vAlign w:val="center"/>
          </w:tcPr>
          <w:p w14:paraId="095A4677">
            <w:pPr>
              <w:widowControl/>
              <w:spacing w:line="240" w:lineRule="exact"/>
              <w:jc w:val="center"/>
              <w:rPr>
                <w:color w:val="000000"/>
                <w:sz w:val="15"/>
                <w:szCs w:val="15"/>
              </w:rPr>
            </w:pPr>
            <w:r>
              <w:rPr>
                <w:rFonts w:hint="eastAsia"/>
                <w:color w:val="000000"/>
                <w:sz w:val="15"/>
                <w:szCs w:val="15"/>
              </w:rPr>
              <w:t>自杀态度问卷</w:t>
            </w:r>
          </w:p>
        </w:tc>
        <w:tc>
          <w:tcPr>
            <w:tcW w:w="567" w:type="dxa"/>
            <w:tcBorders>
              <w:top w:val="nil"/>
              <w:left w:val="nil"/>
              <w:bottom w:val="single" w:color="auto" w:sz="4" w:space="0"/>
              <w:right w:val="single" w:color="auto" w:sz="4" w:space="0"/>
            </w:tcBorders>
            <w:shd w:val="clear" w:color="auto" w:fill="auto"/>
            <w:noWrap/>
            <w:vAlign w:val="center"/>
          </w:tcPr>
          <w:p w14:paraId="04DA327E">
            <w:pPr>
              <w:widowControl/>
              <w:spacing w:line="240" w:lineRule="exact"/>
              <w:jc w:val="center"/>
              <w:rPr>
                <w:color w:val="000000"/>
                <w:sz w:val="15"/>
                <w:szCs w:val="15"/>
              </w:rPr>
            </w:pPr>
            <w:r>
              <w:rPr>
                <w:rFonts w:hint="eastAsia"/>
                <w:color w:val="000000"/>
                <w:sz w:val="15"/>
                <w:szCs w:val="15"/>
              </w:rPr>
              <w:t>204</w:t>
            </w:r>
          </w:p>
        </w:tc>
        <w:tc>
          <w:tcPr>
            <w:tcW w:w="2551" w:type="dxa"/>
            <w:tcBorders>
              <w:top w:val="nil"/>
              <w:left w:val="nil"/>
              <w:bottom w:val="single" w:color="auto" w:sz="4" w:space="0"/>
              <w:right w:val="single" w:color="auto" w:sz="4" w:space="0"/>
            </w:tcBorders>
            <w:shd w:val="clear" w:color="auto" w:fill="auto"/>
            <w:noWrap/>
            <w:vAlign w:val="center"/>
          </w:tcPr>
          <w:p w14:paraId="73C5F8A8">
            <w:pPr>
              <w:widowControl/>
              <w:spacing w:line="240" w:lineRule="exact"/>
              <w:jc w:val="center"/>
              <w:rPr>
                <w:color w:val="000000"/>
                <w:sz w:val="15"/>
                <w:szCs w:val="15"/>
              </w:rPr>
            </w:pPr>
            <w:r>
              <w:rPr>
                <w:rFonts w:hint="eastAsia"/>
                <w:color w:val="000000"/>
                <w:sz w:val="15"/>
                <w:szCs w:val="15"/>
              </w:rPr>
              <w:t>中医五态人格量表</w:t>
            </w:r>
          </w:p>
        </w:tc>
      </w:tr>
    </w:tbl>
    <w:p w14:paraId="73C9B84C">
      <w:pPr>
        <w:jc w:val="both"/>
        <w:rPr>
          <w:rFonts w:ascii="仿宋_GB2312" w:hAnsi="仿宋_GB2312" w:eastAsia="仿宋_GB2312" w:cs="仿宋_GB2312"/>
          <w:b/>
          <w:sz w:val="24"/>
          <w:szCs w:val="24"/>
          <w:lang w:eastAsia="zh-CN"/>
        </w:rPr>
      </w:pPr>
    </w:p>
    <w:p w14:paraId="7D8D0241">
      <w:pPr>
        <w:jc w:val="center"/>
        <w:rPr>
          <w:rFonts w:ascii="黑体" w:hAnsi="黑体" w:eastAsia="黑体"/>
          <w:sz w:val="28"/>
          <w:szCs w:val="24"/>
          <w:lang w:eastAsia="zh-CN"/>
        </w:rPr>
      </w:pPr>
      <w:r>
        <w:rPr>
          <w:rFonts w:hint="eastAsia" w:ascii="黑体" w:hAnsi="黑体" w:eastAsia="黑体"/>
          <w:sz w:val="28"/>
          <w:szCs w:val="24"/>
          <w:lang w:eastAsia="zh-CN"/>
        </w:rPr>
        <w:t>经颅重复磁刺激仪</w:t>
      </w:r>
    </w:p>
    <w:p w14:paraId="1D5D6B17">
      <w:pPr>
        <w:pStyle w:val="5"/>
        <w:ind w:firstLine="480"/>
        <w:rPr>
          <w:rFonts w:ascii="仿宋_GB2312" w:hAnsi="宋体" w:eastAsia="仿宋_GB2312"/>
          <w:sz w:val="24"/>
          <w:szCs w:val="32"/>
        </w:rPr>
      </w:pPr>
      <w:r>
        <w:rPr>
          <w:rFonts w:hint="eastAsia" w:ascii="仿宋_GB2312" w:hAnsi="宋体" w:eastAsia="仿宋_GB2312"/>
          <w:sz w:val="24"/>
          <w:szCs w:val="32"/>
        </w:rPr>
        <w:t>技术参数要求：</w:t>
      </w:r>
    </w:p>
    <w:p w14:paraId="6E6DDD2B">
      <w:pPr>
        <w:pStyle w:val="5"/>
        <w:ind w:firstLine="482"/>
        <w:rPr>
          <w:rFonts w:ascii="仿宋_GB2312" w:hAnsi="宋体" w:eastAsia="仿宋_GB2312"/>
          <w:sz w:val="24"/>
          <w:szCs w:val="32"/>
        </w:rPr>
      </w:pPr>
      <w:r>
        <w:rPr>
          <w:rFonts w:hint="eastAsia" w:ascii="仿宋_GB2312" w:hAnsi="仿宋_GB2312" w:eastAsia="仿宋_GB2312" w:cs="仿宋_GB2312"/>
          <w:b/>
          <w:sz w:val="24"/>
        </w:rPr>
        <w:t>★</w:t>
      </w:r>
      <w:r>
        <w:rPr>
          <w:rFonts w:hint="eastAsia" w:ascii="仿宋_GB2312" w:hAnsi="宋体" w:eastAsia="仿宋_GB2312"/>
          <w:sz w:val="24"/>
          <w:szCs w:val="32"/>
        </w:rPr>
        <w:t>1.刺激频率：0.1～100Hz，允差≤±2</w:t>
      </w:r>
      <w:r>
        <w:rPr>
          <w:rFonts w:hint="eastAsia" w:ascii="仿宋_GB2312" w:hAnsi="宋体" w:eastAsia="仿宋_GB2312"/>
          <w:sz w:val="24"/>
          <w:szCs w:val="32"/>
          <w:lang w:val="en-US" w:eastAsia="zh-CN"/>
        </w:rPr>
        <w:t>0</w:t>
      </w:r>
      <w:r>
        <w:rPr>
          <w:rFonts w:hint="eastAsia" w:ascii="仿宋_GB2312" w:hAnsi="宋体" w:eastAsia="仿宋_GB2312"/>
          <w:sz w:val="24"/>
          <w:szCs w:val="32"/>
        </w:rPr>
        <w:t>%。（提供证明材料）</w:t>
      </w:r>
    </w:p>
    <w:p w14:paraId="1E8DF007">
      <w:pPr>
        <w:pStyle w:val="5"/>
        <w:ind w:firstLine="480"/>
        <w:rPr>
          <w:rFonts w:ascii="仿宋_GB2312" w:hAnsi="宋体" w:eastAsia="仿宋_GB2312"/>
          <w:sz w:val="24"/>
          <w:szCs w:val="32"/>
        </w:rPr>
      </w:pPr>
      <w:r>
        <w:rPr>
          <w:rFonts w:hint="eastAsia" w:ascii="仿宋_GB2312" w:hAnsi="宋体" w:eastAsia="仿宋_GB2312"/>
          <w:sz w:val="24"/>
          <w:szCs w:val="32"/>
        </w:rPr>
        <w:t>2.刺激频率步长：1 Hz以下步长≤0.01Hz, 1Hz以上步长≥1Hz。</w:t>
      </w:r>
    </w:p>
    <w:p w14:paraId="111F34D0">
      <w:pPr>
        <w:pStyle w:val="5"/>
        <w:ind w:firstLine="480"/>
        <w:rPr>
          <w:rFonts w:ascii="仿宋_GB2312" w:hAnsi="宋体" w:eastAsia="仿宋_GB2312"/>
          <w:sz w:val="24"/>
          <w:szCs w:val="32"/>
        </w:rPr>
      </w:pPr>
      <w:r>
        <w:rPr>
          <w:rFonts w:hint="eastAsia" w:ascii="仿宋_GB2312" w:hAnsi="宋体" w:eastAsia="仿宋_GB2312"/>
          <w:sz w:val="24"/>
          <w:szCs w:val="32"/>
        </w:rPr>
        <w:t>3.最大磁感应强度：≥6T，且配置线圈至少有1个强度≥6T。</w:t>
      </w:r>
    </w:p>
    <w:p w14:paraId="0E91CEAE">
      <w:pPr>
        <w:pStyle w:val="5"/>
        <w:ind w:firstLine="480"/>
        <w:rPr>
          <w:rFonts w:ascii="仿宋_GB2312" w:hAnsi="宋体" w:eastAsia="仿宋_GB2312"/>
          <w:sz w:val="24"/>
          <w:szCs w:val="32"/>
        </w:rPr>
      </w:pPr>
      <w:r>
        <w:rPr>
          <w:rFonts w:hint="eastAsia" w:ascii="仿宋_GB2312" w:hAnsi="宋体" w:eastAsia="仿宋_GB2312"/>
          <w:sz w:val="24"/>
          <w:szCs w:val="32"/>
        </w:rPr>
        <w:t>4.脉冲上升时间：50μs ±10μs。</w:t>
      </w:r>
    </w:p>
    <w:p w14:paraId="013C6B9C">
      <w:pPr>
        <w:pStyle w:val="5"/>
        <w:ind w:firstLine="480"/>
        <w:rPr>
          <w:rFonts w:ascii="仿宋_GB2312" w:hAnsi="宋体" w:eastAsia="仿宋_GB2312"/>
          <w:sz w:val="24"/>
          <w:szCs w:val="32"/>
        </w:rPr>
      </w:pPr>
      <w:r>
        <w:rPr>
          <w:rFonts w:hint="eastAsia" w:ascii="仿宋_GB2312" w:hAnsi="宋体" w:eastAsia="仿宋_GB2312"/>
          <w:sz w:val="24"/>
          <w:szCs w:val="32"/>
        </w:rPr>
        <w:t>5.脉冲持续时间：320-360μs。</w:t>
      </w:r>
    </w:p>
    <w:p w14:paraId="189B96BF">
      <w:pPr>
        <w:pStyle w:val="5"/>
        <w:ind w:firstLine="482"/>
        <w:rPr>
          <w:rFonts w:ascii="仿宋_GB2312" w:hAnsi="宋体" w:eastAsia="仿宋_GB2312"/>
          <w:sz w:val="24"/>
          <w:szCs w:val="32"/>
        </w:rPr>
      </w:pPr>
      <w:r>
        <w:rPr>
          <w:rFonts w:hint="eastAsia" w:ascii="仿宋_GB2312" w:hAnsi="仿宋_GB2312" w:eastAsia="仿宋_GB2312" w:cs="仿宋_GB2312"/>
          <w:b/>
          <w:sz w:val="24"/>
        </w:rPr>
        <w:t>★</w:t>
      </w:r>
      <w:r>
        <w:rPr>
          <w:rFonts w:hint="eastAsia" w:ascii="仿宋_GB2312" w:hAnsi="宋体" w:eastAsia="仿宋_GB2312"/>
          <w:sz w:val="24"/>
          <w:szCs w:val="32"/>
        </w:rPr>
        <w:t>6.磁感应强度最大变化率范围：≥</w:t>
      </w:r>
      <w:r>
        <w:rPr>
          <w:rFonts w:hint="eastAsia" w:ascii="仿宋_GB2312" w:hAnsi="宋体" w:eastAsia="仿宋_GB2312"/>
          <w:sz w:val="24"/>
          <w:szCs w:val="32"/>
          <w:lang w:val="en-US" w:eastAsia="zh-CN"/>
        </w:rPr>
        <w:t>4</w:t>
      </w:r>
      <w:r>
        <w:rPr>
          <w:rFonts w:hint="eastAsia" w:ascii="仿宋_GB2312" w:hAnsi="宋体" w:eastAsia="仿宋_GB2312"/>
          <w:sz w:val="24"/>
          <w:szCs w:val="32"/>
        </w:rPr>
        <w:t>0kT/s。（提供证明材料）</w:t>
      </w:r>
    </w:p>
    <w:p w14:paraId="1A2EAAE2">
      <w:pPr>
        <w:pStyle w:val="5"/>
        <w:ind w:firstLine="480"/>
        <w:rPr>
          <w:rFonts w:ascii="仿宋_GB2312" w:hAnsi="宋体" w:eastAsia="仿宋_GB2312"/>
          <w:sz w:val="24"/>
          <w:szCs w:val="32"/>
        </w:rPr>
      </w:pPr>
      <w:r>
        <w:rPr>
          <w:rFonts w:hint="eastAsia" w:ascii="仿宋_GB2312" w:hAnsi="宋体" w:eastAsia="仿宋_GB2312"/>
          <w:sz w:val="24"/>
          <w:szCs w:val="32"/>
        </w:rPr>
        <w:t>7.在设备连续工作时，具有手动停止磁场输出功能，。</w:t>
      </w:r>
    </w:p>
    <w:p w14:paraId="33D72656">
      <w:pPr>
        <w:pStyle w:val="5"/>
        <w:ind w:firstLine="480"/>
        <w:rPr>
          <w:rFonts w:ascii="仿宋_GB2312" w:hAnsi="宋体" w:eastAsia="仿宋_GB2312"/>
          <w:sz w:val="24"/>
          <w:szCs w:val="32"/>
        </w:rPr>
      </w:pPr>
      <w:r>
        <w:rPr>
          <w:rFonts w:hint="eastAsia" w:ascii="仿宋_GB2312" w:hAnsi="宋体" w:eastAsia="仿宋_GB2312"/>
          <w:sz w:val="24"/>
          <w:szCs w:val="32"/>
        </w:rPr>
        <w:t>8.冷却方式：液冷</w:t>
      </w:r>
    </w:p>
    <w:p w14:paraId="09CA498A">
      <w:pPr>
        <w:pStyle w:val="5"/>
        <w:ind w:firstLine="480"/>
        <w:rPr>
          <w:rFonts w:ascii="仿宋_GB2312" w:hAnsi="宋体" w:eastAsia="仿宋_GB2312"/>
          <w:sz w:val="24"/>
          <w:szCs w:val="32"/>
        </w:rPr>
      </w:pPr>
      <w:r>
        <w:rPr>
          <w:rFonts w:hint="eastAsia" w:ascii="仿宋_GB2312" w:hAnsi="宋体" w:eastAsia="仿宋_GB2312"/>
          <w:sz w:val="24"/>
          <w:szCs w:val="32"/>
        </w:rPr>
        <w:t>9.冷却系统可保证设备长时间持续工作。</w:t>
      </w:r>
    </w:p>
    <w:p w14:paraId="2F3A82A2">
      <w:pPr>
        <w:pStyle w:val="5"/>
        <w:ind w:firstLine="482"/>
        <w:rPr>
          <w:rFonts w:ascii="仿宋_GB2312" w:hAnsi="宋体" w:eastAsia="仿宋_GB2312"/>
          <w:sz w:val="24"/>
          <w:szCs w:val="32"/>
        </w:rPr>
      </w:pPr>
      <w:r>
        <w:rPr>
          <w:rFonts w:hint="eastAsia" w:ascii="仿宋_GB2312" w:hAnsi="仿宋_GB2312" w:eastAsia="仿宋_GB2312" w:cs="仿宋_GB2312"/>
          <w:b/>
          <w:sz w:val="24"/>
        </w:rPr>
        <w:t>★</w:t>
      </w:r>
      <w:r>
        <w:rPr>
          <w:rFonts w:hint="eastAsia" w:ascii="仿宋_GB2312" w:hAnsi="宋体" w:eastAsia="仿宋_GB2312"/>
          <w:sz w:val="24"/>
          <w:szCs w:val="32"/>
        </w:rPr>
        <w:t>10.冷却系统与刺激主机分体式设计，电液分离。（提供证明材料）</w:t>
      </w:r>
    </w:p>
    <w:p w14:paraId="455F705C">
      <w:pPr>
        <w:pStyle w:val="5"/>
        <w:ind w:firstLine="480"/>
        <w:rPr>
          <w:rFonts w:ascii="仿宋_GB2312" w:hAnsi="宋体" w:eastAsia="仿宋_GB2312"/>
          <w:sz w:val="24"/>
          <w:szCs w:val="32"/>
        </w:rPr>
      </w:pPr>
      <w:r>
        <w:rPr>
          <w:rFonts w:hint="eastAsia" w:ascii="仿宋_GB2312" w:hAnsi="宋体" w:eastAsia="仿宋_GB2312"/>
          <w:sz w:val="24"/>
          <w:szCs w:val="32"/>
        </w:rPr>
        <w:t>11.当冷却系统发生故障，有提示或停止磁场输出。</w:t>
      </w:r>
    </w:p>
    <w:p w14:paraId="5DB1B676">
      <w:pPr>
        <w:pStyle w:val="5"/>
        <w:ind w:firstLine="480"/>
        <w:rPr>
          <w:rFonts w:ascii="仿宋_GB2312" w:hAnsi="宋体" w:eastAsia="仿宋_GB2312"/>
          <w:sz w:val="24"/>
          <w:szCs w:val="32"/>
        </w:rPr>
      </w:pPr>
      <w:r>
        <w:rPr>
          <w:rFonts w:hint="eastAsia" w:ascii="仿宋_GB2312" w:hAnsi="宋体" w:eastAsia="仿宋_GB2312"/>
          <w:sz w:val="24"/>
          <w:szCs w:val="32"/>
        </w:rPr>
        <w:t>12.实时显示刺激线圈温度。</w:t>
      </w:r>
    </w:p>
    <w:p w14:paraId="635B341D">
      <w:pPr>
        <w:pStyle w:val="5"/>
        <w:ind w:firstLine="480"/>
        <w:rPr>
          <w:rFonts w:ascii="仿宋_GB2312" w:hAnsi="宋体" w:eastAsia="仿宋_GB2312"/>
          <w:sz w:val="24"/>
          <w:szCs w:val="32"/>
        </w:rPr>
      </w:pPr>
      <w:r>
        <w:rPr>
          <w:rFonts w:hint="eastAsia" w:ascii="仿宋_GB2312" w:hAnsi="宋体" w:eastAsia="仿宋_GB2312"/>
          <w:sz w:val="24"/>
          <w:szCs w:val="32"/>
        </w:rPr>
        <w:t>13.温度保护：刺激线圈表面温度≤40℃。</w:t>
      </w:r>
    </w:p>
    <w:p w14:paraId="0525AF56">
      <w:pPr>
        <w:pStyle w:val="5"/>
        <w:ind w:firstLine="480"/>
        <w:rPr>
          <w:rFonts w:ascii="仿宋_GB2312" w:hAnsi="宋体" w:eastAsia="仿宋_GB2312"/>
          <w:sz w:val="24"/>
          <w:szCs w:val="32"/>
        </w:rPr>
      </w:pPr>
      <w:r>
        <w:rPr>
          <w:rFonts w:hint="eastAsia" w:ascii="仿宋_GB2312" w:hAnsi="宋体" w:eastAsia="仿宋_GB2312"/>
          <w:sz w:val="24"/>
          <w:szCs w:val="32"/>
        </w:rPr>
        <w:t>14.标配蝶形线圈，支持扩展或增配圆形线圈、儿童线圈、深部双锥型线圈、动物线圈、伪刺激线圈等科研线圈。</w:t>
      </w:r>
    </w:p>
    <w:p w14:paraId="6B37AFDA">
      <w:pPr>
        <w:pStyle w:val="5"/>
        <w:ind w:firstLine="480"/>
        <w:rPr>
          <w:rFonts w:ascii="仿宋_GB2312" w:hAnsi="宋体" w:eastAsia="仿宋_GB2312"/>
          <w:sz w:val="24"/>
          <w:szCs w:val="32"/>
        </w:rPr>
      </w:pPr>
      <w:r>
        <w:rPr>
          <w:rFonts w:hint="eastAsia" w:ascii="仿宋_GB2312" w:hAnsi="宋体" w:eastAsia="仿宋_GB2312"/>
          <w:sz w:val="24"/>
          <w:szCs w:val="32"/>
        </w:rPr>
        <w:t>15.刺激线圈上具有强度调节按键与触发刺激按键，可调节刺激强度和触发刺激。（产品图片证明）</w:t>
      </w:r>
    </w:p>
    <w:p w14:paraId="0DFDD5AB">
      <w:pPr>
        <w:pStyle w:val="5"/>
        <w:ind w:firstLine="480"/>
        <w:rPr>
          <w:rFonts w:ascii="仿宋_GB2312" w:hAnsi="宋体" w:eastAsia="仿宋_GB2312"/>
          <w:sz w:val="24"/>
          <w:szCs w:val="32"/>
        </w:rPr>
      </w:pPr>
      <w:r>
        <w:rPr>
          <w:rFonts w:hint="eastAsia" w:ascii="仿宋_GB2312" w:hAnsi="宋体" w:eastAsia="仿宋_GB2312"/>
          <w:sz w:val="24"/>
          <w:szCs w:val="32"/>
        </w:rPr>
        <w:t>16.刺激线圈具有显示屏，可实时显示线圈强度（提供产品图片）。</w:t>
      </w:r>
    </w:p>
    <w:p w14:paraId="14DE915A">
      <w:pPr>
        <w:pStyle w:val="5"/>
        <w:ind w:firstLine="480"/>
        <w:rPr>
          <w:rFonts w:ascii="仿宋_GB2312" w:hAnsi="宋体" w:eastAsia="仿宋_GB2312"/>
          <w:sz w:val="24"/>
          <w:szCs w:val="32"/>
        </w:rPr>
      </w:pPr>
      <w:r>
        <w:rPr>
          <w:rFonts w:hint="eastAsia" w:ascii="仿宋_GB2312" w:hAnsi="宋体" w:eastAsia="仿宋_GB2312"/>
          <w:sz w:val="24"/>
          <w:szCs w:val="32"/>
        </w:rPr>
        <w:t>17.线圈支持热插拔，方便临床快速更换线圈。</w:t>
      </w:r>
    </w:p>
    <w:p w14:paraId="6B805B8E">
      <w:pPr>
        <w:pStyle w:val="5"/>
        <w:ind w:firstLine="480"/>
        <w:rPr>
          <w:rFonts w:ascii="仿宋_GB2312" w:hAnsi="宋体" w:eastAsia="仿宋_GB2312"/>
          <w:sz w:val="24"/>
          <w:szCs w:val="32"/>
        </w:rPr>
      </w:pPr>
      <w:r>
        <w:rPr>
          <w:rFonts w:hint="eastAsia" w:ascii="仿宋_GB2312" w:hAnsi="宋体" w:eastAsia="仿宋_GB2312"/>
          <w:sz w:val="24"/>
          <w:szCs w:val="32"/>
        </w:rPr>
        <w:t>18.MEP通道数：≥2通道。</w:t>
      </w:r>
    </w:p>
    <w:p w14:paraId="186A5E14">
      <w:pPr>
        <w:pStyle w:val="5"/>
        <w:ind w:firstLine="480"/>
        <w:rPr>
          <w:rFonts w:ascii="仿宋_GB2312" w:hAnsi="宋体" w:eastAsia="仿宋_GB2312"/>
          <w:sz w:val="24"/>
          <w:szCs w:val="32"/>
        </w:rPr>
      </w:pPr>
      <w:r>
        <w:rPr>
          <w:rFonts w:hint="eastAsia" w:ascii="仿宋_GB2312" w:hAnsi="宋体" w:eastAsia="仿宋_GB2312"/>
          <w:sz w:val="24"/>
          <w:szCs w:val="32"/>
        </w:rPr>
        <w:t>19.运动诱发电位检查模块支持无线传输功能。（提供相关证明材料）</w:t>
      </w:r>
    </w:p>
    <w:p w14:paraId="20DD1619">
      <w:pPr>
        <w:pStyle w:val="5"/>
        <w:ind w:firstLine="480"/>
        <w:rPr>
          <w:rFonts w:ascii="仿宋_GB2312" w:hAnsi="宋体" w:eastAsia="仿宋_GB2312"/>
          <w:sz w:val="24"/>
          <w:szCs w:val="32"/>
        </w:rPr>
      </w:pPr>
      <w:r>
        <w:rPr>
          <w:rFonts w:hint="eastAsia" w:ascii="仿宋_GB2312" w:hAnsi="宋体" w:eastAsia="仿宋_GB2312"/>
          <w:sz w:val="24"/>
          <w:szCs w:val="32"/>
        </w:rPr>
        <w:t>20.MEP采样率：≥100kHz。</w:t>
      </w:r>
    </w:p>
    <w:p w14:paraId="08D08B48">
      <w:pPr>
        <w:pStyle w:val="5"/>
        <w:ind w:firstLine="480"/>
        <w:rPr>
          <w:rFonts w:ascii="仿宋_GB2312" w:hAnsi="宋体" w:eastAsia="仿宋_GB2312"/>
          <w:sz w:val="24"/>
          <w:szCs w:val="32"/>
        </w:rPr>
      </w:pPr>
      <w:r>
        <w:rPr>
          <w:rFonts w:hint="eastAsia" w:ascii="仿宋_GB2312" w:hAnsi="宋体" w:eastAsia="仿宋_GB2312"/>
          <w:sz w:val="24"/>
          <w:szCs w:val="32"/>
        </w:rPr>
        <w:t>21.采用触屏一体机承载软件系统，非便携式电脑，无移动无掉落风险。</w:t>
      </w:r>
    </w:p>
    <w:p w14:paraId="37E09CCD">
      <w:pPr>
        <w:pStyle w:val="5"/>
        <w:ind w:firstLine="480"/>
        <w:rPr>
          <w:rFonts w:ascii="仿宋_GB2312" w:hAnsi="宋体" w:eastAsia="仿宋_GB2312"/>
          <w:sz w:val="24"/>
          <w:szCs w:val="32"/>
        </w:rPr>
      </w:pPr>
      <w:r>
        <w:rPr>
          <w:rFonts w:hint="eastAsia" w:ascii="仿宋_GB2312" w:hAnsi="宋体" w:eastAsia="仿宋_GB2312"/>
          <w:sz w:val="24"/>
          <w:szCs w:val="32"/>
        </w:rPr>
        <w:t>22.刺激模式：具备单脉冲刺激、重复脉冲刺激和模式化刺激功能。</w:t>
      </w:r>
    </w:p>
    <w:p w14:paraId="2EEB773D">
      <w:pPr>
        <w:pStyle w:val="5"/>
        <w:ind w:firstLine="480"/>
        <w:rPr>
          <w:rFonts w:ascii="仿宋_GB2312" w:hAnsi="宋体" w:eastAsia="仿宋_GB2312"/>
          <w:sz w:val="24"/>
          <w:szCs w:val="32"/>
        </w:rPr>
      </w:pPr>
      <w:r>
        <w:rPr>
          <w:rFonts w:hint="eastAsia" w:ascii="仿宋_GB2312" w:hAnsi="宋体" w:eastAsia="仿宋_GB2312"/>
          <w:sz w:val="24"/>
          <w:szCs w:val="32"/>
        </w:rPr>
        <w:t>23.在治疗过程中，能够实时采集患者肌电信号，进行电生理监测。</w:t>
      </w:r>
    </w:p>
    <w:p w14:paraId="252914B9">
      <w:pPr>
        <w:pStyle w:val="5"/>
        <w:ind w:firstLine="480"/>
        <w:rPr>
          <w:rFonts w:ascii="仿宋_GB2312" w:hAnsi="宋体" w:eastAsia="仿宋_GB2312"/>
          <w:sz w:val="24"/>
          <w:szCs w:val="32"/>
        </w:rPr>
      </w:pPr>
      <w:r>
        <w:rPr>
          <w:rFonts w:hint="eastAsia" w:ascii="仿宋_GB2312" w:hAnsi="宋体" w:eastAsia="仿宋_GB2312"/>
          <w:sz w:val="24"/>
          <w:szCs w:val="32"/>
        </w:rPr>
        <w:t>24.治疗界面提供大脑解剖定位图辅助定位。</w:t>
      </w:r>
    </w:p>
    <w:p w14:paraId="10D43620">
      <w:pPr>
        <w:pStyle w:val="5"/>
        <w:ind w:firstLine="480"/>
        <w:rPr>
          <w:rFonts w:ascii="仿宋_GB2312" w:hAnsi="宋体" w:eastAsia="仿宋_GB2312"/>
          <w:sz w:val="24"/>
          <w:szCs w:val="32"/>
        </w:rPr>
      </w:pPr>
      <w:r>
        <w:rPr>
          <w:rFonts w:hint="eastAsia" w:ascii="仿宋_GB2312" w:hAnsi="宋体" w:eastAsia="仿宋_GB2312"/>
          <w:sz w:val="24"/>
          <w:szCs w:val="32"/>
        </w:rPr>
        <w:t>25.设备使用期限不少于10年（提供铭牌或说明书证明）</w:t>
      </w:r>
    </w:p>
    <w:p w14:paraId="4757856C">
      <w:pPr>
        <w:widowControl/>
        <w:rPr>
          <w:rFonts w:ascii="黑体" w:hAnsi="黑体" w:eastAsia="黑体" w:cs="仿宋_GB2312"/>
          <w:color w:val="222222"/>
          <w:sz w:val="28"/>
          <w:szCs w:val="28"/>
          <w:lang w:eastAsia="zh-CN" w:bidi="ar"/>
        </w:rPr>
      </w:pPr>
      <w:r>
        <w:rPr>
          <w:rFonts w:hint="eastAsia" w:ascii="黑体" w:hAnsi="黑体" w:eastAsia="黑体" w:cs="仿宋_GB2312"/>
          <w:color w:val="222222"/>
          <w:sz w:val="28"/>
          <w:szCs w:val="28"/>
          <w:lang w:eastAsia="zh-CN" w:bidi="ar"/>
        </w:rPr>
        <w:t>注意：</w:t>
      </w:r>
    </w:p>
    <w:p w14:paraId="7CFA6F48">
      <w:pPr>
        <w:pStyle w:val="5"/>
        <w:ind w:firstLine="480"/>
        <w:rPr>
          <w:rFonts w:ascii="仿宋_GB2312" w:hAnsi="宋体" w:eastAsia="仿宋_GB2312"/>
          <w:sz w:val="24"/>
          <w:szCs w:val="32"/>
        </w:rPr>
      </w:pPr>
      <w:r>
        <w:rPr>
          <w:rFonts w:hint="eastAsia" w:ascii="仿宋_GB2312" w:hAnsi="宋体" w:eastAsia="仿宋_GB2312"/>
          <w:sz w:val="24"/>
          <w:szCs w:val="32"/>
        </w:rPr>
        <w:t>1</w:t>
      </w:r>
      <w:r>
        <w:rPr>
          <w:rFonts w:ascii="仿宋_GB2312" w:hAnsi="宋体" w:eastAsia="仿宋_GB2312"/>
          <w:sz w:val="24"/>
          <w:szCs w:val="32"/>
        </w:rPr>
        <w:t>.</w:t>
      </w:r>
      <w:r>
        <w:rPr>
          <w:rFonts w:hint="eastAsia" w:ascii="仿宋_GB2312" w:hAnsi="宋体" w:eastAsia="仿宋_GB2312"/>
          <w:sz w:val="24"/>
          <w:szCs w:val="32"/>
        </w:rPr>
        <w:t>打“★”号条款为实质性条款，若有任何一条负偏离或不满足则导致投标无效。</w:t>
      </w:r>
    </w:p>
    <w:p w14:paraId="699427AE">
      <w:pPr>
        <w:pStyle w:val="5"/>
        <w:ind w:firstLine="480"/>
        <w:rPr>
          <w:rFonts w:ascii="仿宋_GB2312" w:hAnsi="宋体" w:eastAsia="仿宋_GB2312"/>
          <w:sz w:val="24"/>
          <w:szCs w:val="32"/>
        </w:rPr>
      </w:pPr>
      <w:r>
        <w:rPr>
          <w:rFonts w:hint="eastAsia" w:ascii="仿宋_GB2312" w:hAnsi="宋体" w:eastAsia="仿宋_GB2312"/>
          <w:sz w:val="24"/>
          <w:szCs w:val="32"/>
        </w:rPr>
        <w:t>2</w:t>
      </w:r>
      <w:r>
        <w:rPr>
          <w:rFonts w:ascii="仿宋_GB2312" w:hAnsi="宋体" w:eastAsia="仿宋_GB2312"/>
          <w:sz w:val="24"/>
          <w:szCs w:val="32"/>
        </w:rPr>
        <w:t>.</w:t>
      </w:r>
      <w:r>
        <w:rPr>
          <w:rFonts w:hint="eastAsia"/>
        </w:rPr>
        <w:t xml:space="preserve"> </w:t>
      </w:r>
      <w:r>
        <w:rPr>
          <w:rFonts w:hint="eastAsia" w:ascii="仿宋_GB2312" w:hAnsi="宋体" w:eastAsia="仿宋_GB2312"/>
          <w:sz w:val="24"/>
          <w:szCs w:val="32"/>
        </w:rPr>
        <w:t>证明材料是指：</w:t>
      </w:r>
      <w:r>
        <w:rPr>
          <w:rFonts w:ascii="仿宋_GB2312" w:hAnsi="宋体" w:eastAsia="仿宋_GB2312"/>
          <w:sz w:val="24"/>
          <w:szCs w:val="32"/>
        </w:rPr>
        <w:t>需提供所投产品生产厂家的技术支持文件（如：医疗器械注册证</w:t>
      </w:r>
      <w:r>
        <w:rPr>
          <w:rFonts w:hint="eastAsia" w:ascii="仿宋_GB2312" w:hAnsi="宋体" w:eastAsia="仿宋_GB2312"/>
          <w:sz w:val="24"/>
          <w:szCs w:val="32"/>
        </w:rPr>
        <w:t>及技术要求</w:t>
      </w:r>
      <w:r>
        <w:rPr>
          <w:rFonts w:ascii="仿宋_GB2312" w:hAnsi="宋体" w:eastAsia="仿宋_GB2312"/>
          <w:sz w:val="24"/>
          <w:szCs w:val="32"/>
        </w:rPr>
        <w:t>/技术白皮书/产品检验报告/</w:t>
      </w:r>
      <w:r>
        <w:rPr>
          <w:rFonts w:hint="eastAsia" w:ascii="仿宋_GB2312" w:hAnsi="宋体" w:eastAsia="仿宋_GB2312"/>
          <w:sz w:val="24"/>
          <w:szCs w:val="32"/>
        </w:rPr>
        <w:t>产品使用或操作</w:t>
      </w:r>
      <w:r>
        <w:rPr>
          <w:rFonts w:ascii="仿宋_GB2312" w:hAnsi="宋体" w:eastAsia="仿宋_GB2312"/>
          <w:sz w:val="24"/>
          <w:szCs w:val="32"/>
        </w:rPr>
        <w:t>说明书/</w:t>
      </w:r>
      <w:r>
        <w:rPr>
          <w:rFonts w:hint="eastAsia" w:ascii="仿宋_GB2312" w:hAnsi="宋体" w:eastAsia="仿宋_GB2312"/>
          <w:sz w:val="24"/>
          <w:szCs w:val="32"/>
        </w:rPr>
        <w:t>官方</w:t>
      </w:r>
      <w:r>
        <w:rPr>
          <w:rFonts w:ascii="仿宋_GB2312" w:hAnsi="宋体" w:eastAsia="仿宋_GB2312"/>
          <w:sz w:val="24"/>
          <w:szCs w:val="32"/>
        </w:rPr>
        <w:t>网站截图）。</w:t>
      </w:r>
      <w:r>
        <w:rPr>
          <w:rFonts w:hint="eastAsia" w:ascii="仿宋_GB2312" w:hAnsi="宋体" w:eastAsia="仿宋_GB2312"/>
          <w:sz w:val="24"/>
          <w:szCs w:val="32"/>
        </w:rPr>
        <w:t>证明材料</w:t>
      </w:r>
      <w:r>
        <w:rPr>
          <w:rFonts w:ascii="仿宋_GB2312" w:hAnsi="宋体" w:eastAsia="仿宋_GB2312"/>
          <w:sz w:val="24"/>
          <w:szCs w:val="32"/>
        </w:rPr>
        <w:t>必须体现招标文件参数要求的具体参数数值,并在技术参数偏离表内备注</w:t>
      </w:r>
      <w:r>
        <w:rPr>
          <w:rFonts w:hint="eastAsia" w:ascii="仿宋_GB2312" w:hAnsi="宋体" w:eastAsia="仿宋_GB2312"/>
          <w:sz w:val="24"/>
          <w:szCs w:val="32"/>
        </w:rPr>
        <w:t>证明材料</w:t>
      </w:r>
      <w:r>
        <w:rPr>
          <w:rFonts w:ascii="仿宋_GB2312" w:hAnsi="宋体" w:eastAsia="仿宋_GB2312"/>
          <w:sz w:val="24"/>
          <w:szCs w:val="32"/>
        </w:rPr>
        <w:t>在投标文件内的具体页码，</w:t>
      </w:r>
      <w:r>
        <w:rPr>
          <w:rFonts w:hint="eastAsia" w:ascii="仿宋_GB2312" w:hAnsi="宋体" w:eastAsia="仿宋_GB2312"/>
          <w:sz w:val="24"/>
          <w:szCs w:val="32"/>
        </w:rPr>
        <w:t>证明材料</w:t>
      </w:r>
      <w:r>
        <w:rPr>
          <w:rFonts w:ascii="仿宋_GB2312" w:hAnsi="宋体" w:eastAsia="仿宋_GB2312"/>
          <w:sz w:val="24"/>
          <w:szCs w:val="32"/>
        </w:rPr>
        <w:t>需要加盖</w:t>
      </w:r>
      <w:r>
        <w:rPr>
          <w:rFonts w:hint="eastAsia" w:ascii="仿宋_GB2312" w:hAnsi="宋体" w:eastAsia="仿宋_GB2312"/>
          <w:sz w:val="24"/>
          <w:szCs w:val="32"/>
        </w:rPr>
        <w:t>供应商</w:t>
      </w:r>
      <w:r>
        <w:rPr>
          <w:rFonts w:ascii="仿宋_GB2312" w:hAnsi="宋体" w:eastAsia="仿宋_GB2312"/>
          <w:sz w:val="24"/>
          <w:szCs w:val="32"/>
        </w:rPr>
        <w:t>公章</w:t>
      </w:r>
      <w:r>
        <w:rPr>
          <w:rFonts w:hint="eastAsia" w:ascii="仿宋_GB2312" w:hAnsi="宋体" w:eastAsia="仿宋_GB2312"/>
          <w:sz w:val="24"/>
          <w:szCs w:val="32"/>
        </w:rPr>
        <w:t>。</w:t>
      </w:r>
    </w:p>
    <w:p w14:paraId="0E1D71AA">
      <w:pPr>
        <w:pStyle w:val="5"/>
        <w:ind w:firstLine="478"/>
        <w:rPr>
          <w:rFonts w:ascii="仿宋_GB2312" w:hAnsi="仿宋_GB2312" w:eastAsia="仿宋_GB2312" w:cs="仿宋_GB2312"/>
          <w:b/>
          <w:sz w:val="32"/>
          <w:szCs w:val="32"/>
        </w:rPr>
      </w:pPr>
      <w:r>
        <w:rPr>
          <w:rFonts w:hint="eastAsia" w:ascii="仿宋_GB2312" w:hAnsi="仿宋_GB2312" w:eastAsia="仿宋_GB2312" w:cs="仿宋_GB2312"/>
          <w:spacing w:val="-1"/>
          <w:sz w:val="24"/>
        </w:rPr>
        <w:t>3</w:t>
      </w:r>
      <w:r>
        <w:rPr>
          <w:rFonts w:ascii="仿宋_GB2312" w:hAnsi="仿宋_GB2312" w:eastAsia="仿宋_GB2312" w:cs="仿宋_GB2312"/>
          <w:spacing w:val="-1"/>
          <w:sz w:val="24"/>
        </w:rPr>
        <w:t xml:space="preserve">. </w:t>
      </w:r>
      <w:r>
        <w:rPr>
          <w:rFonts w:hint="eastAsia" w:ascii="仿宋_GB2312" w:hAnsi="仿宋_GB2312" w:eastAsia="仿宋_GB2312" w:cs="仿宋_GB2312"/>
          <w:spacing w:val="-1"/>
          <w:sz w:val="24"/>
        </w:rPr>
        <w:t>填写</w:t>
      </w:r>
      <w:r>
        <w:rPr>
          <w:rFonts w:hint="eastAsia" w:ascii="仿宋_GB2312" w:hAnsi="仿宋_GB2312" w:eastAsia="仿宋_GB2312" w:cs="仿宋_GB2312"/>
          <w:sz w:val="24"/>
        </w:rPr>
        <w:t>响应内容时</w:t>
      </w:r>
      <w:r>
        <w:rPr>
          <w:rFonts w:hint="eastAsia" w:ascii="仿宋_GB2312" w:hAnsi="仿宋_GB2312" w:eastAsia="仿宋_GB2312" w:cs="仿宋_GB2312"/>
          <w:b/>
          <w:bCs/>
          <w:spacing w:val="-1"/>
          <w:sz w:val="24"/>
        </w:rPr>
        <w:t>不得直接复制“技术要求”原文</w:t>
      </w:r>
      <w:r>
        <w:rPr>
          <w:rFonts w:hint="eastAsia" w:ascii="仿宋_GB2312" w:hAnsi="仿宋_GB2312" w:eastAsia="仿宋_GB2312" w:cs="仿宋_GB2312"/>
          <w:spacing w:val="-1"/>
          <w:sz w:val="24"/>
        </w:rPr>
        <w:t>。否则视为不满足、负偏离。</w:t>
      </w:r>
      <w:r>
        <w:rPr>
          <w:rFonts w:hint="eastAsia" w:ascii="仿宋_GB2312" w:hAnsi="仿宋_GB2312" w:eastAsia="仿宋_GB2312" w:cs="仿宋_GB2312"/>
          <w:b/>
          <w:sz w:val="32"/>
          <w:szCs w:val="32"/>
        </w:rPr>
        <w:br w:type="page"/>
      </w:r>
    </w:p>
    <w:p w14:paraId="598B2330">
      <w:pPr>
        <w:pStyle w:val="2"/>
        <w:spacing w:before="0" w:line="360" w:lineRule="auto"/>
        <w:ind w:left="0" w:right="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第四章 供应商应当提交的资格、资信证明文件</w:t>
      </w:r>
    </w:p>
    <w:p w14:paraId="69C4ED04">
      <w:pPr>
        <w:pStyle w:val="7"/>
        <w:spacing w:before="8" w:line="300" w:lineRule="exact"/>
        <w:rPr>
          <w:rFonts w:ascii="仿宋_GB2312" w:hAnsi="仿宋_GB2312" w:eastAsia="仿宋_GB2312" w:cs="仿宋_GB2312"/>
          <w:b/>
          <w:sz w:val="24"/>
          <w:szCs w:val="24"/>
          <w:lang w:eastAsia="zh-CN"/>
        </w:rPr>
      </w:pPr>
    </w:p>
    <w:p w14:paraId="4AAE7F6E">
      <w:pPr>
        <w:pStyle w:val="7"/>
        <w:spacing w:line="360" w:lineRule="auto"/>
        <w:ind w:right="109"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供应商应提交证明其有资格参加竞争性谈判和成交后有能力履行合同的相关文件，并作为其响应文件的一部分，所有文件必须真实可靠、不得伪造，否则将按相关规定予以处罚。</w:t>
      </w:r>
    </w:p>
    <w:p w14:paraId="2D760ED7">
      <w:pPr>
        <w:pStyle w:val="7"/>
        <w:spacing w:line="360" w:lineRule="auto"/>
        <w:ind w:right="109"/>
        <w:rPr>
          <w:rFonts w:ascii="黑体" w:hAnsi="黑体" w:eastAsia="黑体" w:cs="黑体"/>
          <w:spacing w:val="-1"/>
          <w:sz w:val="24"/>
          <w:szCs w:val="24"/>
          <w:lang w:eastAsia="zh-CN"/>
        </w:rPr>
      </w:pPr>
      <w:r>
        <w:rPr>
          <w:rFonts w:hint="eastAsia" w:ascii="黑体" w:hAnsi="黑体" w:eastAsia="黑体" w:cs="黑体"/>
          <w:spacing w:val="-1"/>
          <w:sz w:val="24"/>
          <w:szCs w:val="24"/>
          <w:lang w:eastAsia="zh-CN"/>
        </w:rPr>
        <w:t>一、法人或者其他组织的营业执照等证明文件，自然人的身份证明。</w:t>
      </w:r>
    </w:p>
    <w:p w14:paraId="4473C430">
      <w:pPr>
        <w:pStyle w:val="7"/>
        <w:spacing w:line="360" w:lineRule="auto"/>
        <w:ind w:right="109"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lang w:eastAsia="zh-CN"/>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企业法 人营业执照</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或</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营业执照”；如供应商是事业单位，要提供有效的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6721D7A6">
      <w:pPr>
        <w:pStyle w:val="7"/>
        <w:tabs>
          <w:tab w:val="left" w:pos="8800"/>
        </w:tabs>
        <w:spacing w:line="360" w:lineRule="auto"/>
        <w:ind w:right="146"/>
        <w:rPr>
          <w:rFonts w:ascii="黑体" w:hAnsi="黑体" w:eastAsia="黑体" w:cs="黑体"/>
          <w:sz w:val="24"/>
          <w:szCs w:val="24"/>
          <w:lang w:eastAsia="zh-CN"/>
        </w:rPr>
      </w:pPr>
      <w:r>
        <w:rPr>
          <w:rFonts w:hint="eastAsia" w:ascii="黑体" w:hAnsi="黑体" w:eastAsia="黑体" w:cs="黑体"/>
          <w:sz w:val="24"/>
          <w:szCs w:val="24"/>
          <w:lang w:eastAsia="zh-CN"/>
        </w:rPr>
        <w:t>二、财务状况报告，依法缴纳税收和社会保障资金的相关材料（详见资格审查表）。</w:t>
      </w:r>
    </w:p>
    <w:p w14:paraId="031ABB53">
      <w:pPr>
        <w:pStyle w:val="7"/>
        <w:tabs>
          <w:tab w:val="left" w:pos="8800"/>
        </w:tabs>
        <w:spacing w:line="360" w:lineRule="auto"/>
        <w:ind w:right="146"/>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三、具备履行合同所必需的设备和专业技术能力的证明材料。</w:t>
      </w:r>
    </w:p>
    <w:p w14:paraId="211BF012">
      <w:pPr>
        <w:pStyle w:val="7"/>
        <w:tabs>
          <w:tab w:val="left" w:pos="572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四、参加政府采购活动前</w:t>
      </w:r>
      <w:r>
        <w:rPr>
          <w:rFonts w:hint="eastAsia" w:ascii="黑体" w:hAnsi="黑体" w:eastAsia="黑体" w:cs="黑体"/>
          <w:w w:val="110"/>
          <w:sz w:val="24"/>
          <w:szCs w:val="24"/>
          <w:lang w:eastAsia="zh-CN"/>
        </w:rPr>
        <w:t>3</w:t>
      </w:r>
      <w:r>
        <w:rPr>
          <w:rFonts w:hint="eastAsia" w:ascii="黑体" w:hAnsi="黑体" w:eastAsia="黑体" w:cs="黑体"/>
          <w:sz w:val="24"/>
          <w:szCs w:val="24"/>
          <w:lang w:eastAsia="zh-CN"/>
        </w:rPr>
        <w:t>年内在经营活动中没有重大违法记录的书面声明。</w:t>
      </w:r>
    </w:p>
    <w:p w14:paraId="57DA368F">
      <w:pPr>
        <w:pStyle w:val="7"/>
        <w:tabs>
          <w:tab w:val="left" w:pos="5940"/>
          <w:tab w:val="left" w:pos="8800"/>
        </w:tabs>
        <w:spacing w:line="360" w:lineRule="auto"/>
        <w:ind w:right="-74"/>
        <w:rPr>
          <w:rFonts w:ascii="黑体" w:hAnsi="黑体" w:eastAsia="黑体" w:cs="黑体"/>
          <w:sz w:val="24"/>
          <w:szCs w:val="24"/>
          <w:lang w:eastAsia="zh-CN"/>
        </w:rPr>
      </w:pPr>
      <w:r>
        <w:rPr>
          <w:rFonts w:hint="eastAsia" w:ascii="黑体" w:hAnsi="黑体" w:eastAsia="黑体" w:cs="黑体"/>
          <w:sz w:val="24"/>
          <w:szCs w:val="24"/>
          <w:lang w:eastAsia="zh-CN"/>
        </w:rPr>
        <w:t>五、按照竞争性谈判通知书要求，供应商应当提交的其他资格、资信证明文件。</w:t>
      </w:r>
    </w:p>
    <w:p w14:paraId="439BFE03">
      <w:pPr>
        <w:tabs>
          <w:tab w:val="left" w:pos="8800"/>
        </w:tabs>
        <w:spacing w:line="360" w:lineRule="auto"/>
        <w:rPr>
          <w:rFonts w:ascii="黑体" w:hAnsi="黑体" w:eastAsia="黑体" w:cs="黑体"/>
          <w:sz w:val="24"/>
          <w:szCs w:val="24"/>
          <w:lang w:eastAsia="zh-CN"/>
        </w:rPr>
        <w:sectPr>
          <w:footerReference r:id="rId5" w:type="default"/>
          <w:pgSz w:w="11900" w:h="16840"/>
          <w:pgMar w:top="1587" w:right="1587" w:bottom="1587" w:left="1587" w:header="0" w:footer="227" w:gutter="0"/>
          <w:cols w:space="720" w:num="1"/>
        </w:sectPr>
      </w:pPr>
    </w:p>
    <w:p w14:paraId="35347212">
      <w:pPr>
        <w:pStyle w:val="2"/>
        <w:spacing w:line="30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第五章 评审</w:t>
      </w:r>
    </w:p>
    <w:p w14:paraId="564337E0">
      <w:pPr>
        <w:pStyle w:val="3"/>
        <w:spacing w:before="76" w:line="300" w:lineRule="exact"/>
        <w:ind w:left="532" w:hanging="532" w:hangingChars="221"/>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一、评审要求</w:t>
      </w:r>
    </w:p>
    <w:p w14:paraId="647CC310">
      <w:pPr>
        <w:pStyle w:val="3"/>
        <w:tabs>
          <w:tab w:val="left" w:pos="778"/>
        </w:tabs>
        <w:ind w:left="0" w:firstLine="514" w:firstLineChars="200"/>
        <w:jc w:val="both"/>
        <w:rPr>
          <w:rFonts w:ascii="楷体_GB2312" w:hAnsi="楷体_GB2312" w:eastAsia="楷体_GB2312" w:cs="楷体_GB2312"/>
          <w:spacing w:val="8"/>
          <w:sz w:val="24"/>
          <w:szCs w:val="24"/>
          <w:lang w:eastAsia="zh-CN"/>
        </w:rPr>
      </w:pPr>
      <w:r>
        <w:rPr>
          <w:rFonts w:hint="eastAsia" w:ascii="楷体_GB2312" w:hAnsi="楷体_GB2312" w:eastAsia="楷体_GB2312" w:cs="楷体_GB2312"/>
          <w:spacing w:val="8"/>
          <w:sz w:val="24"/>
          <w:szCs w:val="24"/>
          <w:lang w:eastAsia="zh-CN"/>
        </w:rPr>
        <w:t>（一）评审方法</w:t>
      </w:r>
    </w:p>
    <w:p w14:paraId="2C79940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采购人根据符合采购需求、质量和服务相等且报价最低的原则确定成交供应商。</w:t>
      </w:r>
    </w:p>
    <w:p w14:paraId="507CC3C0">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（二）评审原则</w:t>
      </w:r>
    </w:p>
    <w:p w14:paraId="719DDCBD">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1.竞争性谈判小组成员应当遵循客观、公正、审慎的原则，根据竞争性谈判通知书规定的评审程序、评审方法和评审标准进行独立评审。</w:t>
      </w:r>
    </w:p>
    <w:p w14:paraId="1AC9B4EF">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2.具体评审事项由竞争性谈判小组负责，并按竞争性谈判通知书规定的办法进行评审。</w:t>
      </w:r>
    </w:p>
    <w:p w14:paraId="028FB751">
      <w:pPr>
        <w:pStyle w:val="3"/>
        <w:tabs>
          <w:tab w:val="left" w:pos="778"/>
        </w:tabs>
        <w:ind w:left="0" w:firstLine="514"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8"/>
          <w:sz w:val="24"/>
          <w:szCs w:val="24"/>
          <w:lang w:eastAsia="zh-CN"/>
        </w:rPr>
        <w:t>（三）竞争性谈判小组</w:t>
      </w:r>
    </w:p>
    <w:p w14:paraId="62CD8307">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1.竞争性谈判小组由采购人代表和评审专家共</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人以上单数组成，其中评审专家人数不得少于竞争性谈判小组成员总数的</w:t>
      </w:r>
      <w:r>
        <w:rPr>
          <w:rFonts w:hint="eastAsia" w:ascii="仿宋_GB2312" w:hAnsi="仿宋_GB2312" w:eastAsia="仿宋_GB2312" w:cs="仿宋_GB2312"/>
          <w:spacing w:val="-4"/>
          <w:sz w:val="24"/>
          <w:szCs w:val="24"/>
          <w:lang w:eastAsia="zh-CN"/>
        </w:rPr>
        <w:t>2/3</w:t>
      </w:r>
      <w:r>
        <w:rPr>
          <w:rFonts w:hint="eastAsia" w:ascii="仿宋_GB2312" w:hAnsi="仿宋_GB2312" w:eastAsia="仿宋_GB2312" w:cs="仿宋_GB2312"/>
          <w:sz w:val="24"/>
          <w:szCs w:val="24"/>
          <w:lang w:eastAsia="zh-CN"/>
        </w:rPr>
        <w:t>。</w:t>
      </w:r>
    </w:p>
    <w:p w14:paraId="4E5A24DC">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2.竞争性谈判小组成员有下列情形之一的，应当回避：</w:t>
      </w:r>
    </w:p>
    <w:p w14:paraId="51423BB8">
      <w:pPr>
        <w:pStyle w:val="17"/>
        <w:tabs>
          <w:tab w:val="left" w:pos="996"/>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（1）</w:t>
      </w:r>
      <w:r>
        <w:rPr>
          <w:rFonts w:hint="eastAsia" w:ascii="仿宋_GB2312" w:hAnsi="仿宋_GB2312" w:eastAsia="仿宋_GB2312" w:cs="仿宋_GB2312"/>
          <w:sz w:val="24"/>
          <w:szCs w:val="24"/>
          <w:lang w:eastAsia="zh-CN"/>
        </w:rPr>
        <w:t>参加政府采购活动前</w:t>
      </w:r>
      <w:r>
        <w:rPr>
          <w:rFonts w:hint="eastAsia" w:ascii="仿宋_GB2312" w:hAnsi="仿宋_GB2312" w:eastAsia="仿宋_GB2312" w:cs="仿宋_GB2312"/>
          <w:spacing w:val="-3"/>
          <w:sz w:val="24"/>
          <w:szCs w:val="24"/>
          <w:lang w:eastAsia="zh-CN"/>
        </w:rPr>
        <w:t>3</w:t>
      </w:r>
      <w:r>
        <w:rPr>
          <w:rFonts w:hint="eastAsia" w:ascii="仿宋_GB2312" w:hAnsi="仿宋_GB2312" w:eastAsia="仿宋_GB2312" w:cs="仿宋_GB2312"/>
          <w:sz w:val="24"/>
          <w:szCs w:val="24"/>
          <w:lang w:eastAsia="zh-CN"/>
        </w:rPr>
        <w:t>年内,与供应商存在劳动关系,或者担任过供应商的董事、监事,</w:t>
      </w:r>
      <w:r>
        <w:rPr>
          <w:rFonts w:hint="eastAsia" w:ascii="仿宋_GB2312" w:hAnsi="仿宋_GB2312" w:eastAsia="仿宋_GB2312" w:cs="仿宋_GB2312"/>
          <w:spacing w:val="-2"/>
          <w:sz w:val="24"/>
          <w:szCs w:val="24"/>
          <w:lang w:eastAsia="zh-CN"/>
        </w:rPr>
        <w:t xml:space="preserve">或者是供应商的控股股东或实 </w:t>
      </w:r>
      <w:r>
        <w:rPr>
          <w:rFonts w:hint="eastAsia" w:ascii="仿宋_GB2312" w:hAnsi="仿宋_GB2312" w:eastAsia="仿宋_GB2312" w:cs="仿宋_GB2312"/>
          <w:w w:val="105"/>
          <w:sz w:val="24"/>
          <w:szCs w:val="24"/>
          <w:lang w:eastAsia="zh-CN"/>
        </w:rPr>
        <w:t>际控制人；</w:t>
      </w:r>
    </w:p>
    <w:p w14:paraId="2A81236F">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（2）</w:t>
      </w:r>
      <w:r>
        <w:rPr>
          <w:rFonts w:hint="eastAsia" w:ascii="仿宋_GB2312" w:hAnsi="仿宋_GB2312" w:eastAsia="仿宋_GB2312" w:cs="仿宋_GB2312"/>
          <w:sz w:val="24"/>
          <w:szCs w:val="24"/>
          <w:lang w:eastAsia="zh-CN"/>
        </w:rPr>
        <w:t>与供应商的法定代表人或者负责人有夫妻、直系血亲、三代以内旁系血亲或者近姻亲关系；</w:t>
      </w:r>
    </w:p>
    <w:p w14:paraId="3F953A0A">
      <w:pPr>
        <w:pStyle w:val="17"/>
        <w:tabs>
          <w:tab w:val="left" w:pos="0"/>
        </w:tabs>
        <w:ind w:left="0" w:firstLine="42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4"/>
          <w:sz w:val="24"/>
          <w:szCs w:val="24"/>
          <w:lang w:eastAsia="zh-CN"/>
        </w:rPr>
        <w:t>（3）</w:t>
      </w:r>
      <w:r>
        <w:rPr>
          <w:rFonts w:hint="eastAsia" w:ascii="仿宋_GB2312" w:hAnsi="仿宋_GB2312" w:eastAsia="仿宋_GB2312" w:cs="仿宋_GB2312"/>
          <w:sz w:val="24"/>
          <w:szCs w:val="24"/>
          <w:lang w:eastAsia="zh-CN"/>
        </w:rPr>
        <w:t>与供应商有其他可能影响政府采购活动公平、公正进行的关系。</w:t>
      </w:r>
    </w:p>
    <w:p w14:paraId="6EB657D3">
      <w:pPr>
        <w:pStyle w:val="17"/>
        <w:tabs>
          <w:tab w:val="left" w:pos="851"/>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3.竞争性谈判小组应当履行下列职责：</w:t>
      </w:r>
    </w:p>
    <w:p w14:paraId="7CB33B1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（1）确认或者制定竞争性谈判通知书；</w:t>
      </w:r>
    </w:p>
    <w:p w14:paraId="069609C9">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（2）从符合相应资格条件的供应商名单中确定不少于</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家的供应商参加竞争性谈判；</w:t>
      </w:r>
    </w:p>
    <w:p w14:paraId="2524ABD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（3）审查供应商的响应文件并作出评价；</w:t>
      </w:r>
    </w:p>
    <w:p w14:paraId="51C2E31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（4）要求供应商解释或者澄清其响应文件；</w:t>
      </w:r>
    </w:p>
    <w:p w14:paraId="6C9FBDE3">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（5）编写评审报告；</w:t>
      </w:r>
    </w:p>
    <w:p w14:paraId="026B1095">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（6）告知采购人在评审过程中发现的供应商的违法违规行为；</w:t>
      </w:r>
    </w:p>
    <w:p w14:paraId="3B0DE80D">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（7）法律法规规定的其他职责。</w:t>
      </w:r>
    </w:p>
    <w:p w14:paraId="3C7DB717">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（四）澄清</w:t>
      </w:r>
    </w:p>
    <w:p w14:paraId="4712DA7C">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19F063D">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E00F9C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1.竞争性谈判小组不接受供应商主动提出的澄清、说明或更正。</w:t>
      </w:r>
    </w:p>
    <w:p w14:paraId="1857B74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2.竞争性谈判小组对供应商提交的澄清、说明或更正有疑问的，可以要求供应商进一步澄清、说明或更正。</w:t>
      </w:r>
    </w:p>
    <w:p w14:paraId="63CF8290">
      <w:pPr>
        <w:pStyle w:val="3"/>
        <w:tabs>
          <w:tab w:val="left" w:pos="778"/>
        </w:tabs>
        <w:ind w:left="0" w:firstLine="52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11"/>
          <w:sz w:val="24"/>
          <w:szCs w:val="24"/>
          <w:lang w:eastAsia="zh-CN"/>
        </w:rPr>
        <w:t>（五）有下列情形之一的，属于恶意串通，并追究法律责任：</w:t>
      </w:r>
    </w:p>
    <w:p w14:paraId="629841FB">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1.供应商直接或者间接从采购人获得其他供应商的相关情况并修改其响应文件；</w:t>
      </w:r>
    </w:p>
    <w:p w14:paraId="197C6E8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2.供应商按照采购人的授意撤换、修改响应文件；</w:t>
      </w:r>
    </w:p>
    <w:p w14:paraId="2AC86658">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3.供应商之间协商报价、技术方案等响应文件的实质性内容；属于同一集团、协会、商会等组织成员的供应商按照该组织要求协同参加政府采购活动；</w:t>
      </w:r>
    </w:p>
    <w:p w14:paraId="668B49E0">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4.供应商之间事先约定由某一特定供应商成交；</w:t>
      </w:r>
    </w:p>
    <w:p w14:paraId="73E4F1C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5.供应商之间商定部分供应商放弃参加政府采购活动或者放弃成交；</w:t>
      </w:r>
    </w:p>
    <w:p w14:paraId="1B24DF3A">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6.供应商与采购人之间，为谋求特定供应商成交或者排斥其他供应商的其他串通行为。</w:t>
      </w:r>
    </w:p>
    <w:p w14:paraId="457FB0C2">
      <w:pPr>
        <w:pStyle w:val="3"/>
        <w:tabs>
          <w:tab w:val="left" w:pos="778"/>
        </w:tabs>
        <w:ind w:left="0" w:firstLine="526" w:firstLineChars="200"/>
        <w:jc w:val="both"/>
        <w:rPr>
          <w:rFonts w:ascii="楷体_GB2312" w:hAnsi="楷体_GB2312" w:eastAsia="楷体_GB2312" w:cs="楷体_GB2312"/>
          <w:spacing w:val="11"/>
          <w:sz w:val="24"/>
          <w:szCs w:val="24"/>
          <w:lang w:eastAsia="zh-CN"/>
        </w:rPr>
      </w:pPr>
      <w:r>
        <w:rPr>
          <w:rFonts w:hint="eastAsia" w:ascii="楷体_GB2312" w:hAnsi="楷体_GB2312" w:eastAsia="楷体_GB2312" w:cs="楷体_GB2312"/>
          <w:spacing w:val="11"/>
          <w:sz w:val="24"/>
          <w:szCs w:val="24"/>
          <w:lang w:eastAsia="zh-CN"/>
        </w:rPr>
        <w:t>（六）响应无效的情形</w:t>
      </w:r>
    </w:p>
    <w:p w14:paraId="6348B1A7">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1.在提交响应文件截止时间后递交响应文件的，响应无效；</w:t>
      </w:r>
    </w:p>
    <w:p w14:paraId="43EF6A73">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2.未实质性响应竞争性谈判通知书的，响应无效；</w:t>
      </w:r>
    </w:p>
    <w:p w14:paraId="70CA3FEE">
      <w:pPr>
        <w:pStyle w:val="17"/>
        <w:tabs>
          <w:tab w:val="left" w:pos="0"/>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3.法律、法规和竞争性谈判通知书规定的其他无效情形。</w:t>
      </w:r>
    </w:p>
    <w:p w14:paraId="21D4B031">
      <w:pPr>
        <w:pStyle w:val="3"/>
        <w:tabs>
          <w:tab w:val="left" w:pos="778"/>
        </w:tabs>
        <w:ind w:left="0" w:firstLine="51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（七）终止的情形</w:t>
      </w:r>
    </w:p>
    <w:p w14:paraId="6B7D7FB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出现下列情形之一的，采购人应当终止竞争性谈判采购活动，发布项目终止公告并说明原因，重新开展采购活动：</w:t>
      </w:r>
    </w:p>
    <w:p w14:paraId="40925AEA">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1.因情况变化，不再符合规定的竞争性谈判采购方式适用情形的；</w:t>
      </w:r>
    </w:p>
    <w:p w14:paraId="4E1AE1C4">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2.出现影响采购公正的违法、违规行为的；</w:t>
      </w:r>
    </w:p>
    <w:p w14:paraId="04199D0C">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3.在采购过程中符合竞争要求的供应商或者报价未超过采购预算的供应商不足</w:t>
      </w:r>
      <w:r>
        <w:rPr>
          <w:rFonts w:hint="eastAsia" w:ascii="仿宋_GB2312" w:hAnsi="仿宋_GB2312" w:eastAsia="仿宋_GB2312" w:cs="仿宋_GB2312"/>
          <w:spacing w:val="-3"/>
          <w:w w:val="110"/>
          <w:sz w:val="24"/>
          <w:szCs w:val="24"/>
          <w:lang w:eastAsia="zh-CN"/>
        </w:rPr>
        <w:t>3</w:t>
      </w:r>
      <w:r>
        <w:rPr>
          <w:rFonts w:hint="eastAsia" w:ascii="仿宋_GB2312" w:hAnsi="仿宋_GB2312" w:eastAsia="仿宋_GB2312" w:cs="仿宋_GB2312"/>
          <w:sz w:val="24"/>
          <w:szCs w:val="24"/>
          <w:lang w:eastAsia="zh-CN"/>
        </w:rPr>
        <w:t>家的。</w:t>
      </w:r>
    </w:p>
    <w:p w14:paraId="570A8A8B">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4.法律、法规以及竞争性谈判通知书规定其他情形。</w:t>
      </w:r>
    </w:p>
    <w:p w14:paraId="6AFFB4D3">
      <w:pPr>
        <w:pStyle w:val="3"/>
        <w:tabs>
          <w:tab w:val="left" w:pos="778"/>
        </w:tabs>
        <w:ind w:left="0" w:firstLine="506" w:firstLineChars="200"/>
        <w:jc w:val="both"/>
        <w:rPr>
          <w:rFonts w:ascii="楷体_GB2312" w:hAnsi="楷体_GB2312" w:eastAsia="楷体_GB2312" w:cs="楷体_GB2312"/>
          <w:sz w:val="24"/>
          <w:szCs w:val="24"/>
          <w:lang w:eastAsia="zh-CN"/>
        </w:rPr>
      </w:pPr>
      <w:r>
        <w:rPr>
          <w:rFonts w:hint="eastAsia" w:ascii="楷体_GB2312" w:hAnsi="楷体_GB2312" w:eastAsia="楷体_GB2312" w:cs="楷体_GB2312"/>
          <w:spacing w:val="6"/>
          <w:sz w:val="24"/>
          <w:szCs w:val="24"/>
          <w:lang w:eastAsia="zh-CN"/>
        </w:rPr>
        <w:t>（八）成交</w:t>
      </w:r>
    </w:p>
    <w:p w14:paraId="0223708F">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评审结束后，竞争性谈判小组根据采购人书面授权直接确定成交供应商或者由采购人从评审报告提出的成交候选供应商中按顺序确定成交供应商。</w:t>
      </w:r>
    </w:p>
    <w:p w14:paraId="62C50A8B">
      <w:pPr>
        <w:pStyle w:val="3"/>
        <w:ind w:left="0" w:firstLine="482" w:firstLineChars="200"/>
        <w:jc w:val="both"/>
        <w:rPr>
          <w:rFonts w:ascii="仿宋_GB2312" w:hAnsi="仿宋_GB2312" w:eastAsia="仿宋_GB2312" w:cs="仿宋_GB2312"/>
          <w:sz w:val="24"/>
          <w:szCs w:val="24"/>
          <w:lang w:eastAsia="zh-CN"/>
        </w:rPr>
      </w:pPr>
      <w:r>
        <w:rPr>
          <w:rFonts w:hint="eastAsia" w:ascii="黑体" w:hAnsi="黑体" w:eastAsia="黑体" w:cs="黑体"/>
          <w:sz w:val="24"/>
          <w:szCs w:val="24"/>
          <w:lang w:eastAsia="zh-CN"/>
        </w:rPr>
        <w:t>二、落实政府采购政策</w:t>
      </w:r>
    </w:p>
    <w:p w14:paraId="70C0EA9A">
      <w:pPr>
        <w:pStyle w:val="17"/>
        <w:tabs>
          <w:tab w:val="left" w:pos="778"/>
        </w:tabs>
        <w:ind w:left="0" w:firstLine="522" w:firstLineChars="200"/>
        <w:jc w:val="both"/>
        <w:rPr>
          <w:rFonts w:ascii="楷体_GB2312" w:hAnsi="楷体_GB2312" w:eastAsia="楷体_GB2312" w:cs="楷体_GB2312"/>
          <w:b/>
          <w:sz w:val="24"/>
          <w:szCs w:val="24"/>
          <w:lang w:eastAsia="zh-CN"/>
        </w:rPr>
      </w:pPr>
      <w:r>
        <w:rPr>
          <w:rFonts w:hint="eastAsia" w:ascii="楷体_GB2312" w:hAnsi="楷体_GB2312" w:eastAsia="楷体_GB2312" w:cs="楷体_GB2312"/>
          <w:b/>
          <w:spacing w:val="10"/>
          <w:sz w:val="24"/>
          <w:szCs w:val="24"/>
          <w:lang w:eastAsia="zh-CN"/>
        </w:rPr>
        <w:t>（一）节约能源、保护环境</w:t>
      </w:r>
    </w:p>
    <w:p w14:paraId="3B5D7D8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的产品属于品目清单范围的，将依据国家确定的认证机构出具的、处于有效期之内的节能产品、环境标志产品认证证书，对获得证书的产品实施政府优先采购或强制采购，具体按照本竞争性谈判通知书相关要求执行。</w:t>
      </w:r>
    </w:p>
    <w:p w14:paraId="082A6FBE">
      <w:pPr>
        <w:pStyle w:val="7"/>
        <w:ind w:firstLine="522" w:firstLineChars="200"/>
        <w:jc w:val="both"/>
        <w:rPr>
          <w:rFonts w:ascii="楷体_GB2312" w:hAnsi="楷体_GB2312" w:eastAsia="楷体_GB2312" w:cs="楷体_GB2312"/>
          <w:b/>
          <w:bCs/>
          <w:sz w:val="24"/>
          <w:szCs w:val="24"/>
          <w:lang w:eastAsia="zh-CN"/>
        </w:rPr>
      </w:pPr>
      <w:r>
        <w:rPr>
          <w:rFonts w:hint="eastAsia" w:ascii="楷体_GB2312" w:hAnsi="楷体_GB2312" w:eastAsia="楷体_GB2312" w:cs="楷体_GB2312"/>
          <w:b/>
          <w:bCs/>
          <w:spacing w:val="10"/>
          <w:sz w:val="24"/>
          <w:szCs w:val="24"/>
          <w:lang w:eastAsia="zh-CN"/>
        </w:rPr>
        <w:t>（二）促进中小企业发展</w:t>
      </w:r>
    </w:p>
    <w:p w14:paraId="52FB379C">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lang w:eastAsia="zh-CN"/>
        </w:rPr>
        <w:t>小企业在政府采购中的份额，支持中小企业发展。</w:t>
      </w:r>
    </w:p>
    <w:p w14:paraId="4149FBA8">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lang w:eastAsia="zh-CN"/>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lang w:eastAsia="zh-CN"/>
        </w:rPr>
        <w:t>系的除外。符合中小企业划分标准的个体工商户，在政府采购活动中视同中小企业。</w:t>
      </w:r>
    </w:p>
    <w:p w14:paraId="0851536D">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3.在政府采购活动中，供应商提供的货物、工程或者服务符合下列情形的，享受《政府采购促进中小企业发展管理办</w:t>
      </w:r>
      <w:r>
        <w:rPr>
          <w:rFonts w:hint="eastAsia" w:ascii="仿宋_GB2312" w:hAnsi="仿宋_GB2312" w:eastAsia="仿宋_GB2312" w:cs="仿宋_GB2312"/>
          <w:sz w:val="24"/>
          <w:szCs w:val="24"/>
          <w:lang w:eastAsia="zh-CN"/>
        </w:rPr>
        <w:t>法》规定的中小企业扶持政策：</w:t>
      </w:r>
    </w:p>
    <w:p w14:paraId="716B2421">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（1）在货物采购项目中，货物由中小企业制造，即货物由中小企业生产且使用该中小企业商号或者注册商标；</w:t>
      </w:r>
    </w:p>
    <w:p w14:paraId="6E699C49">
      <w:pPr>
        <w:pStyle w:val="17"/>
        <w:tabs>
          <w:tab w:val="left" w:pos="996"/>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（2）在工程采购项目中，工程由中小企业承建，即工程施工单位为中小企业；</w:t>
      </w:r>
    </w:p>
    <w:p w14:paraId="64AD80C5">
      <w:pPr>
        <w:pStyle w:val="17"/>
        <w:tabs>
          <w:tab w:val="left" w:pos="996"/>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（3）在服务采购项目中，服务由中小企业承接，即提供服务的人员为中小企业依照《中华人民共和国劳动合同法》订立</w:t>
      </w:r>
      <w:r>
        <w:rPr>
          <w:rFonts w:hint="eastAsia" w:ascii="仿宋_GB2312" w:hAnsi="仿宋_GB2312" w:eastAsia="仿宋_GB2312" w:cs="仿宋_GB2312"/>
          <w:sz w:val="24"/>
          <w:szCs w:val="24"/>
          <w:lang w:eastAsia="zh-CN"/>
        </w:rPr>
        <w:t>劳动合同的从业人员。</w:t>
      </w:r>
    </w:p>
    <w:p w14:paraId="2B188E55">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在货物采购项目中，供应商提供的货物既有中小企业制造货物，也有大型企业制造货物的，不享受《政府采购促进中小企业发展管理办法》规定的中小企业扶持政策。</w:t>
      </w:r>
    </w:p>
    <w:p w14:paraId="6EC05C8B">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以联合体形式参加政府采购活动，联合体各方均为中小企业的，联合体视同中小企业。其中，联合体各方均为小微企业的，联合体视同小微企业。</w:t>
      </w:r>
    </w:p>
    <w:p w14:paraId="0D34F776">
      <w:pPr>
        <w:pStyle w:val="17"/>
        <w:tabs>
          <w:tab w:val="left" w:pos="794"/>
        </w:tabs>
        <w:ind w:left="0" w:firstLine="476"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4.依照《政府采购促进中小企业发展管理办法》《关于政府采购支持监狱企业发展有关问题的通知》和《财政部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lang w:eastAsia="zh-CN"/>
        </w:rPr>
        <w:t>性单位，按照以下比例给予相应的价格扣除：</w:t>
      </w:r>
    </w:p>
    <w:p w14:paraId="16CBE70A">
      <w:pPr>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合同包（精神科设备购置项目）</w:t>
      </w:r>
    </w:p>
    <w:tbl>
      <w:tblPr>
        <w:tblStyle w:val="11"/>
        <w:tblW w:w="854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5"/>
        <w:gridCol w:w="1979"/>
        <w:gridCol w:w="1070"/>
        <w:gridCol w:w="1173"/>
        <w:gridCol w:w="3422"/>
      </w:tblGrid>
      <w:tr w14:paraId="74F74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25856F4F">
            <w:pPr>
              <w:pStyle w:val="18"/>
              <w:jc w:val="center"/>
              <w:rPr>
                <w:rFonts w:ascii="仿宋_GB2312" w:hAnsi="仿宋_GB2312" w:eastAsia="仿宋_GB2312" w:cs="仿宋_GB2312"/>
                <w:bCs/>
              </w:rPr>
            </w:pPr>
            <w:r>
              <w:rPr>
                <w:rFonts w:hint="eastAsia" w:ascii="仿宋_GB2312" w:hAnsi="仿宋_GB2312" w:eastAsia="仿宋_GB2312" w:cs="仿宋_GB2312"/>
                <w:bCs/>
              </w:rPr>
              <w:t>序号</w:t>
            </w:r>
          </w:p>
        </w:tc>
        <w:tc>
          <w:tcPr>
            <w:tcW w:w="1979" w:type="dxa"/>
            <w:vAlign w:val="center"/>
          </w:tcPr>
          <w:p w14:paraId="59682720">
            <w:pPr>
              <w:pStyle w:val="18"/>
              <w:jc w:val="center"/>
              <w:rPr>
                <w:rFonts w:ascii="仿宋_GB2312" w:hAnsi="仿宋_GB2312" w:eastAsia="仿宋_GB2312" w:cs="仿宋_GB2312"/>
                <w:bCs/>
              </w:rPr>
            </w:pPr>
            <w:r>
              <w:rPr>
                <w:rFonts w:hint="eastAsia" w:ascii="仿宋_GB2312" w:hAnsi="仿宋_GB2312" w:eastAsia="仿宋_GB2312" w:cs="仿宋_GB2312"/>
                <w:bCs/>
              </w:rPr>
              <w:t>情形</w:t>
            </w:r>
          </w:p>
        </w:tc>
        <w:tc>
          <w:tcPr>
            <w:tcW w:w="1070" w:type="dxa"/>
            <w:vAlign w:val="center"/>
          </w:tcPr>
          <w:p w14:paraId="56E367B0">
            <w:pPr>
              <w:pStyle w:val="18"/>
              <w:jc w:val="center"/>
              <w:rPr>
                <w:rFonts w:ascii="仿宋_GB2312" w:hAnsi="仿宋_GB2312" w:eastAsia="仿宋_GB2312" w:cs="仿宋_GB2312"/>
                <w:bCs/>
              </w:rPr>
            </w:pPr>
            <w:r>
              <w:rPr>
                <w:rFonts w:hint="eastAsia" w:ascii="仿宋_GB2312" w:hAnsi="仿宋_GB2312" w:eastAsia="仿宋_GB2312" w:cs="仿宋_GB2312"/>
                <w:bCs/>
              </w:rPr>
              <w:t>适用对象</w:t>
            </w:r>
          </w:p>
        </w:tc>
        <w:tc>
          <w:tcPr>
            <w:tcW w:w="1173" w:type="dxa"/>
            <w:vAlign w:val="center"/>
          </w:tcPr>
          <w:p w14:paraId="61BF92D7">
            <w:pPr>
              <w:pStyle w:val="18"/>
              <w:jc w:val="center"/>
              <w:rPr>
                <w:rFonts w:ascii="仿宋_GB2312" w:hAnsi="仿宋_GB2312" w:eastAsia="仿宋_GB2312" w:cs="仿宋_GB2312"/>
                <w:bCs/>
              </w:rPr>
            </w:pPr>
            <w:r>
              <w:rPr>
                <w:rFonts w:hint="eastAsia" w:ascii="仿宋_GB2312" w:hAnsi="仿宋_GB2312" w:eastAsia="仿宋_GB2312" w:cs="仿宋_GB2312"/>
                <w:bCs/>
              </w:rPr>
              <w:t>价格扣除比例</w:t>
            </w:r>
          </w:p>
        </w:tc>
        <w:tc>
          <w:tcPr>
            <w:tcW w:w="3422" w:type="dxa"/>
            <w:vAlign w:val="center"/>
          </w:tcPr>
          <w:p w14:paraId="7DE01594">
            <w:pPr>
              <w:pStyle w:val="18"/>
              <w:jc w:val="center"/>
              <w:rPr>
                <w:rFonts w:ascii="仿宋_GB2312" w:hAnsi="仿宋_GB2312" w:eastAsia="仿宋_GB2312" w:cs="仿宋_GB2312"/>
                <w:bCs/>
              </w:rPr>
            </w:pPr>
            <w:r>
              <w:rPr>
                <w:rFonts w:hint="eastAsia" w:ascii="仿宋_GB2312" w:hAnsi="仿宋_GB2312" w:eastAsia="仿宋_GB2312" w:cs="仿宋_GB2312"/>
                <w:bCs/>
              </w:rPr>
              <w:t>计算公式</w:t>
            </w:r>
          </w:p>
        </w:tc>
      </w:tr>
      <w:tr w14:paraId="54329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905" w:type="dxa"/>
            <w:vAlign w:val="center"/>
          </w:tcPr>
          <w:p w14:paraId="1EB321D4">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1</w:t>
            </w:r>
          </w:p>
        </w:tc>
        <w:tc>
          <w:tcPr>
            <w:tcW w:w="1979" w:type="dxa"/>
            <w:vAlign w:val="center"/>
          </w:tcPr>
          <w:p w14:paraId="069D4003">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小型、微型企业，监狱企业，残疾人福利性单位</w:t>
            </w:r>
          </w:p>
        </w:tc>
        <w:tc>
          <w:tcPr>
            <w:tcW w:w="1070" w:type="dxa"/>
            <w:vAlign w:val="center"/>
          </w:tcPr>
          <w:p w14:paraId="5422FE8A">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非联合体</w:t>
            </w:r>
          </w:p>
        </w:tc>
        <w:tc>
          <w:tcPr>
            <w:tcW w:w="1173" w:type="dxa"/>
            <w:vAlign w:val="center"/>
          </w:tcPr>
          <w:p w14:paraId="00E837E3">
            <w:pPr>
              <w:pStyle w:val="18"/>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10%</w:t>
            </w:r>
          </w:p>
        </w:tc>
        <w:tc>
          <w:tcPr>
            <w:tcW w:w="3422" w:type="dxa"/>
            <w:vAlign w:val="center"/>
          </w:tcPr>
          <w:p w14:paraId="63F75721">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0135D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8549" w:type="dxa"/>
            <w:gridSpan w:val="5"/>
            <w:vAlign w:val="center"/>
          </w:tcPr>
          <w:p w14:paraId="1ADDBE57">
            <w:pPr>
              <w:pStyle w:val="18"/>
              <w:jc w:val="both"/>
              <w:rPr>
                <w:rFonts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lang w:eastAsia="zh-CN"/>
              </w:rPr>
              <w:t xml:space="preserve">注：（1）上述评标价仅用于计算价格评分，成交金额以实际投标价为准。 </w:t>
            </w:r>
          </w:p>
          <w:p w14:paraId="55E107C5">
            <w:pPr>
              <w:pStyle w:val="18"/>
              <w:ind w:left="1070" w:leftChars="200" w:hanging="630" w:hangingChars="300"/>
              <w:jc w:val="both"/>
              <w:rPr>
                <w:rFonts w:ascii="仿宋_GB2312" w:hAnsi="仿宋_GB2312" w:eastAsia="仿宋_GB2312" w:cs="仿宋_GB2312"/>
                <w:bCs/>
                <w:sz w:val="24"/>
                <w:szCs w:val="24"/>
                <w:lang w:eastAsia="zh-CN"/>
              </w:rPr>
            </w:pPr>
            <w:r>
              <w:rPr>
                <w:rFonts w:hint="eastAsia" w:ascii="仿宋_GB2312" w:hAnsi="仿宋_GB2312" w:eastAsia="仿宋_GB2312" w:cs="仿宋_GB2312"/>
                <w:bCs/>
                <w:sz w:val="21"/>
                <w:szCs w:val="21"/>
                <w:lang w:eastAsia="zh-CN"/>
              </w:rPr>
              <w:t>（2）组成联合体的大中型企业和其他自然人、法人或者其他组织，与小型、微型企业之间不得存在投资关系。</w:t>
            </w:r>
          </w:p>
        </w:tc>
      </w:tr>
    </w:tbl>
    <w:p w14:paraId="6E317E25">
      <w:pPr>
        <w:pStyle w:val="17"/>
        <w:tabs>
          <w:tab w:val="left" w:pos="794"/>
        </w:tabs>
        <w:ind w:left="0" w:firstLine="480" w:firstLineChars="200"/>
        <w:jc w:val="both"/>
        <w:rPr>
          <w:rFonts w:ascii="仿宋_GB2312" w:hAnsi="仿宋_GB2312" w:eastAsia="仿宋_GB2312" w:cs="仿宋_GB2312"/>
          <w:sz w:val="24"/>
          <w:szCs w:val="24"/>
          <w:lang w:eastAsia="zh-CN"/>
        </w:rPr>
      </w:pPr>
    </w:p>
    <w:p w14:paraId="7DB52D7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不得享受相关中小企业扶持政策。供应商应当对提供材料的真实性负责，若有虚假，将追究其法律责任。</w:t>
      </w:r>
    </w:p>
    <w:p w14:paraId="172CE28A">
      <w:pPr>
        <w:pStyle w:val="3"/>
        <w:spacing w:before="1" w:line="300" w:lineRule="exact"/>
        <w:ind w:left="0"/>
        <w:rPr>
          <w:rFonts w:ascii="黑体" w:hAnsi="黑体" w:eastAsia="黑体" w:cs="黑体"/>
          <w:sz w:val="24"/>
          <w:szCs w:val="24"/>
          <w:lang w:eastAsia="zh-CN"/>
        </w:rPr>
      </w:pPr>
      <w:r>
        <w:rPr>
          <w:rFonts w:hint="eastAsia" w:ascii="黑体" w:hAnsi="黑体" w:eastAsia="黑体" w:cs="黑体"/>
          <w:sz w:val="24"/>
          <w:szCs w:val="24"/>
          <w:lang w:eastAsia="zh-CN"/>
        </w:rPr>
        <w:t>三、评审程序</w:t>
      </w:r>
    </w:p>
    <w:p w14:paraId="4A1169E0">
      <w:pPr>
        <w:pStyle w:val="3"/>
        <w:tabs>
          <w:tab w:val="left" w:pos="778"/>
        </w:tabs>
        <w:spacing w:before="24" w:line="300" w:lineRule="exact"/>
        <w:ind w:left="0" w:firstLine="518" w:firstLineChars="200"/>
        <w:rPr>
          <w:rFonts w:ascii="仿宋_GB2312" w:hAnsi="仿宋_GB2312" w:eastAsia="仿宋_GB2312" w:cs="仿宋_GB2312"/>
          <w:spacing w:val="9"/>
          <w:sz w:val="24"/>
          <w:szCs w:val="24"/>
          <w:lang w:eastAsia="zh-CN"/>
        </w:rPr>
      </w:pPr>
      <w:r>
        <w:rPr>
          <w:rFonts w:hint="eastAsia" w:ascii="仿宋_GB2312" w:hAnsi="仿宋_GB2312" w:eastAsia="仿宋_GB2312" w:cs="仿宋_GB2312"/>
          <w:spacing w:val="9"/>
          <w:sz w:val="24"/>
          <w:szCs w:val="24"/>
          <w:lang w:eastAsia="zh-CN"/>
        </w:rPr>
        <w:t>（一）资格审查</w:t>
      </w:r>
    </w:p>
    <w:p w14:paraId="24969CEE">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1.竞争性谈判小组依据法律法规和谈判文件的规定，对响应文件中的资格证明文件等进行审查，以确定供应商是否具备响应资格。</w:t>
      </w:r>
    </w:p>
    <w:p w14:paraId="7820C379">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2.资格审查中有任意一项未通过的，审查结果为未通过，未通过资格审查的供应商按无效响应处理。</w:t>
      </w:r>
    </w:p>
    <w:p w14:paraId="4A9FBBE1">
      <w:pPr>
        <w:pStyle w:val="17"/>
        <w:tabs>
          <w:tab w:val="left" w:pos="794"/>
        </w:tabs>
        <w:ind w:left="0"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3.信用记录查询</w:t>
      </w:r>
    </w:p>
    <w:p w14:paraId="6F6A0E1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查询渠道：通过</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信用中国</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网站</w:t>
      </w:r>
      <w:r>
        <w:rPr>
          <w:rFonts w:hint="eastAsia" w:ascii="仿宋_GB2312" w:hAnsi="仿宋_GB2312" w:eastAsia="仿宋_GB2312" w:cs="仿宋_GB2312"/>
          <w:spacing w:val="-4"/>
          <w:sz w:val="24"/>
          <w:szCs w:val="24"/>
          <w:lang w:eastAsia="zh-CN"/>
        </w:rPr>
        <w:t>(www.creditchina.gov.cn)</w:t>
      </w:r>
      <w:r>
        <w:rPr>
          <w:rFonts w:hint="eastAsia" w:ascii="仿宋_GB2312" w:hAnsi="仿宋_GB2312" w:eastAsia="仿宋_GB2312" w:cs="仿宋_GB2312"/>
          <w:sz w:val="24"/>
          <w:szCs w:val="24"/>
          <w:lang w:eastAsia="zh-CN"/>
        </w:rPr>
        <w:t>和</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中国政府采购网”（</w:t>
      </w:r>
      <w:r>
        <w:fldChar w:fldCharType="begin"/>
      </w:r>
      <w:r>
        <w:instrText xml:space="preserve"> HYPERLINK "http://www.ccgp.gov.cn/" \h </w:instrText>
      </w:r>
      <w:r>
        <w:fldChar w:fldCharType="separate"/>
      </w:r>
      <w:r>
        <w:rPr>
          <w:rFonts w:hint="eastAsia" w:ascii="仿宋_GB2312" w:hAnsi="仿宋_GB2312" w:eastAsia="仿宋_GB2312" w:cs="仿宋_GB2312"/>
          <w:sz w:val="24"/>
          <w:szCs w:val="24"/>
          <w:lang w:eastAsia="zh-CN"/>
        </w:rPr>
        <w:t>www.ccgp.gov.cn</w:t>
      </w:r>
      <w:r>
        <w:rPr>
          <w:rFonts w:hint="eastAsia" w:ascii="仿宋_GB2312" w:hAnsi="仿宋_GB2312" w:eastAsia="仿宋_GB2312" w:cs="仿宋_GB2312"/>
          <w:sz w:val="24"/>
          <w:szCs w:val="24"/>
          <w:lang w:eastAsia="zh-CN"/>
        </w:rPr>
        <w:fldChar w:fldCharType="end"/>
      </w:r>
      <w:r>
        <w:rPr>
          <w:rFonts w:hint="eastAsia" w:ascii="仿宋_GB2312" w:hAnsi="仿宋_GB2312" w:eastAsia="仿宋_GB2312" w:cs="仿宋_GB2312"/>
          <w:sz w:val="24"/>
          <w:szCs w:val="24"/>
          <w:lang w:eastAsia="zh-CN"/>
        </w:rPr>
        <w:t>）进行查询； 查询截止时点：本项目资格审查时查询；</w:t>
      </w:r>
    </w:p>
    <w:p w14:paraId="637E62E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查询记录：对列入失信被执行人、税收违法黑名单、政府采购严重违法失信行为记录名单、信用报告进行查询；</w:t>
      </w:r>
    </w:p>
    <w:p w14:paraId="731BDAAA">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1B80EECF">
      <w:pPr>
        <w:pStyle w:val="7"/>
        <w:jc w:val="center"/>
        <w:rPr>
          <w:rFonts w:ascii="仿宋_GB2312" w:hAnsi="仿宋_GB2312" w:eastAsia="仿宋_GB2312" w:cs="仿宋_GB2312"/>
          <w:b/>
          <w:bCs/>
          <w:sz w:val="24"/>
          <w:szCs w:val="24"/>
          <w:lang w:eastAsia="zh-CN"/>
        </w:rPr>
      </w:pPr>
    </w:p>
    <w:p w14:paraId="79866FA7">
      <w:pPr>
        <w:pStyle w:val="7"/>
        <w:jc w:val="center"/>
        <w:rPr>
          <w:rFonts w:ascii="仿宋_GB2312" w:hAnsi="仿宋_GB2312" w:eastAsia="仿宋_GB2312" w:cs="仿宋_GB2312"/>
          <w:b/>
          <w:bCs/>
          <w:sz w:val="24"/>
          <w:szCs w:val="24"/>
          <w:lang w:eastAsia="zh-CN"/>
        </w:rPr>
      </w:pPr>
    </w:p>
    <w:p w14:paraId="3CE474F4">
      <w:pPr>
        <w:pStyle w:val="7"/>
        <w:jc w:val="center"/>
        <w:rPr>
          <w:rFonts w:ascii="仿宋_GB2312" w:hAnsi="仿宋_GB2312" w:eastAsia="仿宋_GB2312" w:cs="仿宋_GB2312"/>
          <w:b/>
          <w:bCs/>
          <w:sz w:val="24"/>
          <w:szCs w:val="24"/>
          <w:lang w:eastAsia="zh-CN"/>
        </w:rPr>
      </w:pPr>
    </w:p>
    <w:p w14:paraId="3993693E">
      <w:pPr>
        <w:pStyle w:val="7"/>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资格审查表</w:t>
      </w:r>
    </w:p>
    <w:tbl>
      <w:tblPr>
        <w:tblStyle w:val="11"/>
        <w:tblW w:w="852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93"/>
        <w:gridCol w:w="6028"/>
      </w:tblGrid>
      <w:tr w14:paraId="4AF31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5E830F09">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具有独立承担民事责任的能</w:t>
            </w:r>
            <w:r>
              <w:rPr>
                <w:rFonts w:hint="eastAsia" w:ascii="仿宋_GB2312" w:hAnsi="仿宋_GB2312" w:eastAsia="仿宋_GB2312" w:cs="仿宋_GB2312"/>
                <w:w w:val="101"/>
                <w:sz w:val="21"/>
                <w:szCs w:val="21"/>
                <w:lang w:eastAsia="zh-CN"/>
              </w:rPr>
              <w:t>力</w:t>
            </w:r>
          </w:p>
        </w:tc>
        <w:tc>
          <w:tcPr>
            <w:tcW w:w="6028" w:type="dxa"/>
            <w:vAlign w:val="center"/>
          </w:tcPr>
          <w:p w14:paraId="438984CA">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审查供应商营业执照等证明文件或者身份证明。</w:t>
            </w:r>
          </w:p>
        </w:tc>
      </w:tr>
      <w:tr w14:paraId="20D79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24C32A66">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具有良好的商业信誉和健全的财务会计制度</w:t>
            </w:r>
          </w:p>
        </w:tc>
        <w:tc>
          <w:tcPr>
            <w:tcW w:w="6028" w:type="dxa"/>
            <w:vAlign w:val="center"/>
          </w:tcPr>
          <w:p w14:paraId="02E8E59F">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供应商需提供2025年度经审计的审计报告或近一年内基本户开户行出具的银行资信证明</w:t>
            </w:r>
          </w:p>
        </w:tc>
      </w:tr>
      <w:tr w14:paraId="14E88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1" w:hRule="atLeast"/>
          <w:jc w:val="center"/>
        </w:trPr>
        <w:tc>
          <w:tcPr>
            <w:tcW w:w="2493" w:type="dxa"/>
            <w:vAlign w:val="center"/>
          </w:tcPr>
          <w:p w14:paraId="6C5CD6A5">
            <w:pPr>
              <w:pStyle w:val="18"/>
              <w:spacing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有依法缴纳税收和社会保障资金的良好记录</w:t>
            </w:r>
          </w:p>
        </w:tc>
        <w:tc>
          <w:tcPr>
            <w:tcW w:w="6028" w:type="dxa"/>
            <w:vAlign w:val="center"/>
          </w:tcPr>
          <w:p w14:paraId="1F8C7CF5">
            <w:pPr>
              <w:pStyle w:val="18"/>
              <w:spacing w:before="24" w:line="300" w:lineRule="exact"/>
              <w:ind w:left="100" w:right="86"/>
              <w:jc w:val="both"/>
              <w:rPr>
                <w:rFonts w:ascii="仿宋_GB2312" w:hAnsi="仿宋_GB2312" w:eastAsia="仿宋_GB2312" w:cs="仿宋_GB2312"/>
                <w:spacing w:val="-2"/>
                <w:sz w:val="21"/>
                <w:szCs w:val="21"/>
                <w:lang w:eastAsia="zh-CN"/>
              </w:rPr>
            </w:pPr>
            <w:r>
              <w:rPr>
                <w:rFonts w:hint="eastAsia" w:ascii="仿宋_GB2312" w:hAnsi="仿宋_GB2312" w:eastAsia="仿宋_GB2312" w:cs="仿宋_GB2312"/>
                <w:spacing w:val="-3"/>
                <w:sz w:val="21"/>
                <w:szCs w:val="21"/>
                <w:lang w:eastAsia="zh-CN"/>
              </w:rPr>
              <w:t>1.提供递交投标文件截止之日前一年内（至少连续三个月）的良好缴纳税收的相关凭据。（以税务机关 提供的纳税凭据或银行入账单为准）；</w:t>
            </w:r>
          </w:p>
          <w:p w14:paraId="348C01C2">
            <w:pPr>
              <w:pStyle w:val="18"/>
              <w:spacing w:before="24" w:line="300" w:lineRule="exact"/>
              <w:ind w:left="100" w:right="86"/>
              <w:jc w:val="both"/>
              <w:rPr>
                <w:rFonts w:ascii="仿宋_GB2312" w:hAnsi="仿宋_GB2312" w:eastAsia="仿宋_GB2312" w:cs="仿宋_GB2312"/>
                <w:sz w:val="21"/>
                <w:szCs w:val="21"/>
                <w:lang w:eastAsia="zh-CN"/>
              </w:rPr>
            </w:pPr>
            <w:r>
              <w:rPr>
                <w:rFonts w:hint="eastAsia" w:ascii="仿宋_GB2312" w:hAnsi="仿宋_GB2312" w:eastAsia="仿宋_GB2312" w:cs="仿宋_GB2312"/>
                <w:spacing w:val="-3"/>
                <w:sz w:val="21"/>
                <w:szCs w:val="21"/>
                <w:lang w:eastAsia="zh-CN"/>
              </w:rPr>
              <w:t>2.提供递交响应文件截止之日前一年内（至少连续三个月）缴纳社会保险的凭证。（以专用收据或社会保险缴纳清单为准）。依法免税或不需要缴纳社会保障资金的 投标人，应提供相应文件证明其依法免税或不需要缴纳社会保障资金。</w:t>
            </w:r>
          </w:p>
        </w:tc>
      </w:tr>
      <w:tr w14:paraId="0A1F3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6BB0552C">
            <w:pPr>
              <w:pStyle w:val="18"/>
              <w:spacing w:before="60"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具有履行合同所必须的设备和专业技术能力</w:t>
            </w:r>
          </w:p>
        </w:tc>
        <w:tc>
          <w:tcPr>
            <w:tcW w:w="6028" w:type="dxa"/>
            <w:vAlign w:val="center"/>
          </w:tcPr>
          <w:p w14:paraId="46852E9B">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审查供应商提供的具有履行合同所必需的设备和专业技术能力的证明材料。</w:t>
            </w:r>
          </w:p>
        </w:tc>
      </w:tr>
      <w:tr w14:paraId="4E719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jc w:val="center"/>
        </w:trPr>
        <w:tc>
          <w:tcPr>
            <w:tcW w:w="2493" w:type="dxa"/>
            <w:vAlign w:val="center"/>
          </w:tcPr>
          <w:p w14:paraId="535294D7">
            <w:pPr>
              <w:pStyle w:val="18"/>
              <w:spacing w:before="24" w:line="300" w:lineRule="exact"/>
              <w:ind w:left="100" w:right="182"/>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参加采购活动前3年内，在经营活动中没有重大违法记</w:t>
            </w:r>
            <w:r>
              <w:rPr>
                <w:rFonts w:hint="eastAsia" w:ascii="仿宋_GB2312" w:hAnsi="仿宋_GB2312" w:eastAsia="仿宋_GB2312" w:cs="仿宋_GB2312"/>
                <w:w w:val="101"/>
                <w:sz w:val="21"/>
                <w:szCs w:val="21"/>
                <w:lang w:eastAsia="zh-CN"/>
              </w:rPr>
              <w:t>录</w:t>
            </w:r>
          </w:p>
        </w:tc>
        <w:tc>
          <w:tcPr>
            <w:tcW w:w="6028" w:type="dxa"/>
            <w:vAlign w:val="center"/>
          </w:tcPr>
          <w:p w14:paraId="48D3F263">
            <w:pPr>
              <w:pStyle w:val="18"/>
              <w:spacing w:line="300" w:lineRule="exact"/>
              <w:ind w:left="1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审查供应商参加本次采购活动前3年内在经营活动中没有重大违法记录的书面声明。</w:t>
            </w:r>
          </w:p>
        </w:tc>
      </w:tr>
      <w:tr w14:paraId="06B42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9" w:hRule="atLeast"/>
          <w:jc w:val="center"/>
        </w:trPr>
        <w:tc>
          <w:tcPr>
            <w:tcW w:w="2493" w:type="dxa"/>
            <w:vAlign w:val="center"/>
          </w:tcPr>
          <w:p w14:paraId="7A213D7E">
            <w:pPr>
              <w:pStyle w:val="18"/>
              <w:spacing w:line="300" w:lineRule="exact"/>
              <w:ind w:left="100"/>
              <w:jc w:val="both"/>
              <w:rPr>
                <w:rFonts w:ascii="仿宋_GB2312" w:hAnsi="仿宋_GB2312" w:eastAsia="仿宋_GB2312" w:cs="仿宋_GB2312"/>
                <w:sz w:val="21"/>
                <w:szCs w:val="21"/>
              </w:rPr>
            </w:pPr>
            <w:bookmarkStart w:id="0" w:name="_Hlk228293719"/>
            <w:r>
              <w:rPr>
                <w:rFonts w:hint="eastAsia" w:ascii="仿宋_GB2312" w:hAnsi="仿宋_GB2312" w:eastAsia="仿宋_GB2312" w:cs="仿宋_GB2312"/>
                <w:sz w:val="21"/>
                <w:szCs w:val="21"/>
              </w:rPr>
              <w:t>信用记录</w:t>
            </w:r>
            <w:bookmarkEnd w:id="0"/>
          </w:p>
        </w:tc>
        <w:tc>
          <w:tcPr>
            <w:tcW w:w="6028" w:type="dxa"/>
            <w:vAlign w:val="center"/>
          </w:tcPr>
          <w:p w14:paraId="30BF5FF3">
            <w:pPr>
              <w:pStyle w:val="18"/>
              <w:spacing w:before="60" w:line="300" w:lineRule="exact"/>
              <w:ind w:left="100"/>
              <w:jc w:val="both"/>
              <w:rPr>
                <w:rFonts w:ascii="仿宋_GB2312" w:hAnsi="仿宋_GB2312" w:eastAsia="仿宋_GB2312" w:cs="仿宋_GB2312"/>
                <w:sz w:val="21"/>
                <w:szCs w:val="21"/>
                <w:lang w:eastAsia="zh-CN"/>
              </w:rPr>
            </w:pPr>
            <w:bookmarkStart w:id="1" w:name="_Hlk228293727"/>
            <w:r>
              <w:rPr>
                <w:rFonts w:hint="eastAsia" w:ascii="仿宋_GB2312" w:hAnsi="仿宋_GB2312" w:eastAsia="仿宋_GB2312" w:cs="仿宋_GB2312"/>
                <w:sz w:val="21"/>
                <w:szCs w:val="21"/>
                <w:lang w:eastAsia="zh-CN"/>
              </w:rPr>
              <w:t>资格审查时，供应商未被列入失信被执行人、税收违法黑名单、政府采购严重违法失信行为记录名单。</w:t>
            </w:r>
            <w:bookmarkEnd w:id="1"/>
          </w:p>
        </w:tc>
      </w:tr>
    </w:tbl>
    <w:p w14:paraId="76B2D222">
      <w:pPr>
        <w:pStyle w:val="7"/>
        <w:spacing w:before="6" w:line="300" w:lineRule="exact"/>
        <w:rPr>
          <w:rFonts w:ascii="仿宋_GB2312" w:hAnsi="仿宋_GB2312" w:eastAsia="仿宋_GB2312" w:cs="仿宋_GB2312"/>
          <w:b/>
          <w:sz w:val="24"/>
          <w:szCs w:val="24"/>
          <w:lang w:eastAsia="zh-CN"/>
        </w:rPr>
      </w:pPr>
    </w:p>
    <w:p w14:paraId="74F22B4C">
      <w:pPr>
        <w:pStyle w:val="3"/>
        <w:tabs>
          <w:tab w:val="left" w:pos="778"/>
        </w:tabs>
        <w:spacing w:before="24" w:line="300" w:lineRule="exact"/>
        <w:ind w:left="0" w:firstLine="518"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（二）符合性审查</w:t>
      </w:r>
    </w:p>
    <w:p w14:paraId="78E75465">
      <w:pPr>
        <w:pStyle w:val="17"/>
        <w:tabs>
          <w:tab w:val="left" w:pos="794"/>
        </w:tabs>
        <w:spacing w:before="23" w:line="300" w:lineRule="exact"/>
        <w:ind w:left="0" w:right="233" w:firstLine="476" w:firstLineChars="200"/>
        <w:rPr>
          <w:rFonts w:ascii="仿宋_GB2312" w:hAnsi="仿宋_GB2312" w:eastAsia="仿宋_GB2312" w:cs="仿宋_GB2312"/>
          <w:sz w:val="24"/>
          <w:szCs w:val="24"/>
          <w:lang w:eastAsia="zh-CN"/>
        </w:rPr>
      </w:pPr>
      <w:r>
        <w:rPr>
          <w:rFonts w:hint="eastAsia" w:ascii="仿宋_GB2312" w:hAnsi="仿宋_GB2312" w:eastAsia="仿宋_GB2312" w:cs="仿宋_GB2312"/>
          <w:spacing w:val="-1"/>
          <w:sz w:val="24"/>
          <w:szCs w:val="24"/>
          <w:lang w:eastAsia="zh-CN"/>
        </w:rPr>
        <w:t>1.竞争性谈判小组依据竞争性谈判文件的规定，从响应文件的有效性、完整性和对竞争性谈判文件的响应程度进行审查，以确定是否对竞争性谈判</w:t>
      </w:r>
      <w:r>
        <w:rPr>
          <w:rFonts w:hint="eastAsia" w:ascii="仿宋_GB2312" w:hAnsi="仿宋_GB2312" w:eastAsia="仿宋_GB2312" w:cs="仿宋_GB2312"/>
          <w:sz w:val="24"/>
          <w:szCs w:val="24"/>
          <w:lang w:eastAsia="zh-CN"/>
        </w:rPr>
        <w:t>文件的实质性要求作出响应。</w:t>
      </w:r>
    </w:p>
    <w:p w14:paraId="1EA9639D">
      <w:pPr>
        <w:pStyle w:val="17"/>
        <w:tabs>
          <w:tab w:val="left" w:pos="794"/>
        </w:tabs>
        <w:spacing w:before="71" w:line="300" w:lineRule="exact"/>
        <w:ind w:left="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2.符合性审查中有任意一项未通过的，评审结果为未通过，未通过符合性审查的供应商按无效响应处理。</w:t>
      </w:r>
    </w:p>
    <w:p w14:paraId="581099C1">
      <w:pPr>
        <w:pStyle w:val="17"/>
        <w:tabs>
          <w:tab w:val="left" w:pos="794"/>
        </w:tabs>
        <w:spacing w:before="71" w:line="300" w:lineRule="exact"/>
        <w:ind w:left="0" w:firstLine="0"/>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符合性审查表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398"/>
      </w:tblGrid>
      <w:tr w14:paraId="70309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0F4720BC">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投标报价</w:t>
            </w:r>
          </w:p>
        </w:tc>
        <w:tc>
          <w:tcPr>
            <w:tcW w:w="6398" w:type="dxa"/>
            <w:vAlign w:val="center"/>
          </w:tcPr>
          <w:p w14:paraId="2798414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投标报价（包括分项报价，投标总报价）只能有一个有效报价且不超过采购预算或最高限价，投标报价不得缺项、漏项。</w:t>
            </w:r>
          </w:p>
        </w:tc>
      </w:tr>
      <w:tr w14:paraId="2B2CD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45A8BE0B">
            <w:pPr>
              <w:pStyle w:val="18"/>
              <w:spacing w:line="300" w:lineRule="exact"/>
              <w:ind w:left="100"/>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投标文件规范性、符合性</w:t>
            </w:r>
          </w:p>
        </w:tc>
        <w:tc>
          <w:tcPr>
            <w:tcW w:w="6398" w:type="dxa"/>
            <w:vAlign w:val="center"/>
          </w:tcPr>
          <w:p w14:paraId="23305523">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响应文件的签署、盖章、涂改、删除、插字、公章使用等符合谈判文件要求；响应文件文件的格式、文字、目录等符合谈判文件要求或对投标无实质性影响。</w:t>
            </w:r>
          </w:p>
        </w:tc>
      </w:tr>
      <w:tr w14:paraId="7C30C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3EF008F5">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主要商务条款</w:t>
            </w:r>
          </w:p>
        </w:tc>
        <w:tc>
          <w:tcPr>
            <w:tcW w:w="6398" w:type="dxa"/>
            <w:vAlign w:val="center"/>
          </w:tcPr>
          <w:p w14:paraId="5175384A">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审查供应商出具的“满足主要商务条款的承诺书”，且进行盖章。</w:t>
            </w:r>
          </w:p>
        </w:tc>
      </w:tr>
      <w:tr w14:paraId="699A4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612B007B">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联合体投标</w:t>
            </w:r>
          </w:p>
        </w:tc>
        <w:tc>
          <w:tcPr>
            <w:tcW w:w="6398" w:type="dxa"/>
            <w:vAlign w:val="center"/>
          </w:tcPr>
          <w:p w14:paraId="64A573C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符合关于联合体投标的相关规定</w:t>
            </w:r>
          </w:p>
        </w:tc>
      </w:tr>
      <w:tr w14:paraId="1B2AF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101" w:type="dxa"/>
            <w:vAlign w:val="center"/>
          </w:tcPr>
          <w:p w14:paraId="5A2B1ECA">
            <w:pPr>
              <w:pStyle w:val="18"/>
              <w:spacing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技术部分实质性内容</w:t>
            </w:r>
          </w:p>
        </w:tc>
        <w:tc>
          <w:tcPr>
            <w:tcW w:w="6398" w:type="dxa"/>
            <w:vAlign w:val="center"/>
          </w:tcPr>
          <w:p w14:paraId="406F629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1.明确所投标的的产品品牌、规格型号或服务内容或工程量； 2.响应文件应当对谈判文件提出的要求和条件作出明确响应并满足谈判文件全部实质性要求。</w:t>
            </w:r>
          </w:p>
        </w:tc>
      </w:tr>
      <w:tr w14:paraId="26563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101" w:type="dxa"/>
            <w:vAlign w:val="center"/>
          </w:tcPr>
          <w:p w14:paraId="4445884C">
            <w:pPr>
              <w:pStyle w:val="18"/>
              <w:spacing w:before="60" w:line="300" w:lineRule="exact"/>
              <w:ind w:left="100"/>
              <w:rPr>
                <w:rFonts w:ascii="仿宋_GB2312" w:hAnsi="仿宋_GB2312" w:eastAsia="仿宋_GB2312" w:cs="仿宋_GB2312"/>
                <w:sz w:val="21"/>
                <w:szCs w:val="21"/>
              </w:rPr>
            </w:pPr>
            <w:r>
              <w:rPr>
                <w:rFonts w:hint="eastAsia" w:ascii="仿宋_GB2312" w:hAnsi="仿宋_GB2312" w:eastAsia="仿宋_GB2312" w:cs="仿宋_GB2312"/>
                <w:sz w:val="21"/>
                <w:szCs w:val="21"/>
              </w:rPr>
              <w:t>其他要求</w:t>
            </w:r>
          </w:p>
        </w:tc>
        <w:tc>
          <w:tcPr>
            <w:tcW w:w="6398" w:type="dxa"/>
            <w:vAlign w:val="center"/>
          </w:tcPr>
          <w:p w14:paraId="6240EE40">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竞争性谈判文件要求的其他无效投标情形；围标、串标和法律法规规定的其它无效投标条款。</w:t>
            </w:r>
          </w:p>
        </w:tc>
      </w:tr>
    </w:tbl>
    <w:p w14:paraId="35E0E2AC">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（三）谈判</w:t>
      </w:r>
    </w:p>
    <w:p w14:paraId="67E4F6C1">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谈判小组所有成员应当集中与单一供应商分别进行谈判，并给予所有参加谈判的供应商平等的谈判机会。</w:t>
      </w:r>
    </w:p>
    <w:p w14:paraId="5380917F">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在谈判过程中，谈判小组可以根据谈判文件和谈判情况实质性变动采购需求中的技术、服务要求以及合同草案条款，但不 得变动谈判文件中的其他内容。实质性变动的内容，须经采购人代表确认。</w:t>
      </w:r>
    </w:p>
    <w:p w14:paraId="29B062E8">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对谈判文件作出的实质性变动是谈判文件的有效组成部分，谈判小组应当及时通过政府采购云平台同时通知所有参加谈判 的供应商。 </w:t>
      </w:r>
    </w:p>
    <w:p w14:paraId="30636CC7">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3A5EFE60">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（四）最后报价</w:t>
      </w:r>
    </w:p>
    <w:p w14:paraId="3CC4C9DC">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谈判结束后，谈判小组应当要求所有实质性响应的供应商在规定时间内提交最后报价。最后报价是供应商响应文件的有效 组成部分。</w:t>
      </w:r>
    </w:p>
    <w:p w14:paraId="1663F516">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已提交响应文件的供应商，在提交最后报价之前，可以根据谈判情况退出谈判。</w:t>
      </w:r>
    </w:p>
    <w:p w14:paraId="41111B93">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未在最终轮次规定时间内进行响应的，视为不再参与该政府采购活动。</w:t>
      </w:r>
    </w:p>
    <w:p w14:paraId="31C7EE1D">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（五）政府采购政策功能落实</w:t>
      </w:r>
    </w:p>
    <w:p w14:paraId="60683A0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依据《政府采购促进中小企业发展管理办法》等规定，对符合条件的小微企业、监狱企业或残疾人福利性单位给予价格扣 除。 </w:t>
      </w:r>
    </w:p>
    <w:p w14:paraId="117569D9">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 xml:space="preserve">（六）汇总、排序 </w:t>
      </w:r>
    </w:p>
    <w:p w14:paraId="1E58DEFD">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谈判小组应当从质量和服务均能满足谈判文件实质性响应要求的供应商中，按照最后报价由低到高的顺序提出3名以上成 交候选人，并编写评审报告。</w:t>
      </w:r>
    </w:p>
    <w:p w14:paraId="63E82559">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2763DC1E">
      <w:pPr>
        <w:pStyle w:val="18"/>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5F8D31B2">
      <w:pPr>
        <w:ind w:firstLine="200"/>
        <w:jc w:val="both"/>
        <w:rPr>
          <w:lang w:eastAsia="zh-CN"/>
        </w:rPr>
        <w:sectPr>
          <w:footerReference r:id="rId6" w:type="default"/>
          <w:pgSz w:w="11900" w:h="16840"/>
          <w:pgMar w:top="1587" w:right="1587" w:bottom="1587" w:left="1587" w:header="0" w:footer="227" w:gutter="0"/>
          <w:cols w:space="720" w:num="1"/>
        </w:sectPr>
      </w:pPr>
    </w:p>
    <w:p w14:paraId="314DB5E3">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第六章 合同与验收</w:t>
      </w:r>
    </w:p>
    <w:p w14:paraId="6B3E6B75">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一、合同</w:t>
      </w:r>
    </w:p>
    <w:p w14:paraId="2E8374A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（一）合同要求</w:t>
      </w:r>
    </w:p>
    <w:p w14:paraId="77D87220">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1.</w:t>
      </w:r>
      <w:r>
        <w:rPr>
          <w:rFonts w:hint="eastAsia" w:ascii="仿宋_GB2312" w:hAnsi="仿宋_GB2312" w:eastAsia="仿宋_GB2312" w:cs="仿宋_GB2312"/>
          <w:spacing w:val="-1"/>
          <w:sz w:val="24"/>
          <w:szCs w:val="24"/>
          <w:lang w:eastAsia="zh-CN"/>
        </w:rPr>
        <w:t>采购人应当自中标（成交）通知书发出之日起30日内，按照招标（磋商、谈判）文件或竞争性谈判通知书和中标（成交）供 应商投标（响应）文件的规定，与中标（成交）供应商签订书面合同。所签订的合同不得对招标（磋商、谈判）文件或竞争性谈判通知书确定的事项作实质性修改。采购人、供应商不得提出任何不合理的要求作为签订合同的条件。</w:t>
      </w:r>
    </w:p>
    <w:p w14:paraId="3F13A54A">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2.</w:t>
      </w:r>
      <w:r>
        <w:rPr>
          <w:rFonts w:hint="eastAsia" w:ascii="仿宋_GB2312" w:hAnsi="仿宋_GB2312" w:eastAsia="仿宋_GB2312" w:cs="仿宋_GB2312"/>
          <w:spacing w:val="-1"/>
          <w:sz w:val="24"/>
          <w:szCs w:val="24"/>
          <w:lang w:eastAsia="zh-CN"/>
        </w:rPr>
        <w:t>政府采购合同应当包括采购人与中标（成交）供应商的名称和住所、标的、数量、质量、价款或者报酬、履行期限及地点和方式、验收要求、违约责任、解决争议的方法等内容。</w:t>
      </w:r>
    </w:p>
    <w:p w14:paraId="0FDE7F52">
      <w:pPr>
        <w:pStyle w:val="17"/>
        <w:numPr>
          <w:ilvl w:val="1"/>
          <w:numId w:val="0"/>
        </w:numPr>
        <w:tabs>
          <w:tab w:val="left" w:pos="794"/>
        </w:tabs>
        <w:ind w:firstLine="602"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3"/>
          <w:w w:val="128"/>
          <w:sz w:val="24"/>
          <w:szCs w:val="24"/>
          <w:lang w:eastAsia="zh-CN"/>
        </w:rPr>
        <w:t>3.</w:t>
      </w:r>
      <w:r>
        <w:rPr>
          <w:rFonts w:hint="eastAsia" w:ascii="仿宋_GB2312" w:hAnsi="仿宋_GB2312" w:eastAsia="仿宋_GB2312" w:cs="仿宋_GB2312"/>
          <w:spacing w:val="-1"/>
          <w:sz w:val="24"/>
          <w:szCs w:val="24"/>
          <w:lang w:eastAsia="zh-CN"/>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023A0BF6">
      <w:pPr>
        <w:pStyle w:val="3"/>
        <w:tabs>
          <w:tab w:val="left" w:pos="778"/>
        </w:tabs>
        <w:ind w:left="0" w:firstLine="518" w:firstLineChars="200"/>
        <w:jc w:val="both"/>
        <w:rPr>
          <w:rFonts w:ascii="楷体_GB2312" w:hAnsi="楷体_GB2312" w:eastAsia="楷体_GB2312" w:cs="楷体_GB2312"/>
          <w:spacing w:val="9"/>
          <w:sz w:val="24"/>
          <w:szCs w:val="24"/>
          <w:lang w:eastAsia="zh-CN"/>
        </w:rPr>
      </w:pPr>
      <w:r>
        <w:rPr>
          <w:rFonts w:hint="eastAsia" w:ascii="楷体_GB2312" w:hAnsi="楷体_GB2312" w:eastAsia="楷体_GB2312" w:cs="楷体_GB2312"/>
          <w:spacing w:val="9"/>
          <w:sz w:val="24"/>
          <w:szCs w:val="24"/>
          <w:lang w:eastAsia="zh-CN"/>
        </w:rPr>
        <w:t>（二）合同格式及内容</w:t>
      </w:r>
    </w:p>
    <w:p w14:paraId="0B621478">
      <w:pPr>
        <w:widowControl/>
        <w:ind w:firstLine="420" w:firstLineChars="200"/>
        <w:jc w:val="center"/>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政府采购货物采购合同（样本）</w:t>
      </w:r>
    </w:p>
    <w:p w14:paraId="2D698FD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甲方：***（填写采购单位名称）</w:t>
      </w:r>
    </w:p>
    <w:p w14:paraId="485B01D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0D19FFA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乙方：***（填写中标、成交供应商名称）</w:t>
      </w:r>
    </w:p>
    <w:p w14:paraId="6D40CF8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地址：***（填写详细地址）</w:t>
      </w:r>
    </w:p>
    <w:p w14:paraId="57F8516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根据《中华人民共和国政府采购法》《中华人民共和国政府采购法实施条例》《中华人民共和国民法典》等相关法律法规、规范性文件以及__________项目（填写项目名称）__________（填写政府采购项目编号）的中标（成交）结果、招标（磋商、谈判）文件或询价通知书、投标（响应）文件等文件相关内容，甲乙双方经平等协商，就本采购事宜达成一致合同条款，具体如下：</w:t>
      </w:r>
    </w:p>
    <w:p w14:paraId="4BDF44F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一、甲方采购货物基本情况</w:t>
      </w:r>
    </w:p>
    <w:p w14:paraId="061D6CE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（一）根据招标（磋商、谈判）文件或询价通知书及中标（成交）结果公告，甲方所采购的货物、服务（如有）基本情况如下：______________________________。</w:t>
      </w:r>
    </w:p>
    <w:p w14:paraId="201BF37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（二）货物名称、数量、规格型号、生产厂家、品牌、单价、与货物相关的服务等详细内容，详见合同附件-货物清单。</w:t>
      </w:r>
    </w:p>
    <w:p w14:paraId="69DC06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二、乙方交付货物的时间及地点</w:t>
      </w:r>
    </w:p>
    <w:p w14:paraId="2FCEBEE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（一）交付时间：__________</w:t>
      </w:r>
    </w:p>
    <w:p w14:paraId="10EE92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（二）交付地点：__________（填写详细地址）</w:t>
      </w:r>
    </w:p>
    <w:p w14:paraId="2CCC6DF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（三）交付货物的名称及数量：__________</w:t>
      </w:r>
    </w:p>
    <w:p w14:paraId="6AE7C06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（四）乙方交付货物代表及联系电话：__________（填写姓名和联系电话）</w:t>
      </w:r>
    </w:p>
    <w:p w14:paraId="293AB1E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（五）甲方接收货物代表及联系电话：__________（填写姓名和联系电话）</w:t>
      </w:r>
    </w:p>
    <w:p w14:paraId="5DE615C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注：货物为多批次交付的，应详细列明每批次交付的内容、数量、交付时间、交付地点等信息。</w:t>
      </w:r>
    </w:p>
    <w:p w14:paraId="1FEB252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三、乙方交付货物的质量</w:t>
      </w:r>
    </w:p>
    <w:p w14:paraId="41267B7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（一）乙方交付的货物需同时满足以下要求：1. 符合国家法律法规和规范性文件对货物的质量要求；2. 符合甲方招标（磋商、谈判）文件或询价通知书对货物的质量要求；3. 符合乙方在投标（响应）文件中或磋商、谈判过程中对货物质量作出的书面承诺、声明或保证。以上质量要求作为甲方验收货物的核心依据。</w:t>
      </w:r>
    </w:p>
    <w:p w14:paraId="13A2EAD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（二）乙方应当依据国家法律法规、规范性文件、招标（磋商、谈判）文件、询价通知书及自身投标承诺，向甲方提供完整有效的货物质量证明文件。</w:t>
      </w:r>
    </w:p>
    <w:p w14:paraId="6DC4EC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四、乙方交付货物的包装及标识</w:t>
      </w:r>
    </w:p>
    <w:p w14:paraId="45F2E0C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（一）乙方交付货物的包装和标识需同时满足：1. 符合国家法律法规和规范性文件对产品包装及标识的要求；2. 符合甲方招标（磋商、谈判）文件或询价通知书对货物包装及标识的要求；3. 符合乙方在投标（响应）文件中作出的包装、标识相关承诺与保证；4. 满足绿色环保、安全运输等通用标准。</w:t>
      </w:r>
    </w:p>
    <w:p w14:paraId="03A9542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（二）货物全部包装费用由乙方承担。</w:t>
      </w:r>
    </w:p>
    <w:p w14:paraId="0FE0D2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五、货物的运输要求</w:t>
      </w:r>
    </w:p>
    <w:p w14:paraId="480F717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（一）运输方式及运输线路：__________。</w:t>
      </w:r>
    </w:p>
    <w:p w14:paraId="0CEC374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（二）货物运输、保险及全部配套相关费用，均由乙方承担。</w:t>
      </w:r>
    </w:p>
    <w:p w14:paraId="748E31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六、甲方对货物的验收</w:t>
      </w:r>
    </w:p>
    <w:p w14:paraId="2897065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乙方货物送达甲方指定地点后，需及时通知甲方。甲方收到到货通知且货物到位后__________日内，由甲乙双方及第三方（如有）共同对货物数量、规格型号、生产厂家、品牌、外观进行验收，条件允许的可同步完成货物质量初步验收，双方签署书面验收记录，作为项目履约归档文件。</w:t>
      </w:r>
    </w:p>
    <w:p w14:paraId="373B2D0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收到货物__________日内，若发现货物质量问题，需在__________日内向乙方出具书面异议文件；甲方逾期提出异议的，视为乙方交付货物质量完全符合合同约定。乙方收到甲方质量异议书面文件后，须在__________日内完成问题整改、更换或赔付处理。</w:t>
      </w:r>
    </w:p>
    <w:p w14:paraId="481D1F4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（三）乙方交付货物的数量、规格、质量不符合合同约定的，甲方可在验收记录中据实记载、留存证据，有权拒收货物、解除合同，且无需承担任何法律责任。</w:t>
      </w:r>
    </w:p>
    <w:p w14:paraId="0A4EE4B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七、合同金额</w:t>
      </w:r>
    </w:p>
    <w:p w14:paraId="2C69E632">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乙方完整履行合同义务、交付合规货物后，本合同总金额：小写￥__________元，大写：__________。</w:t>
      </w:r>
    </w:p>
    <w:p w14:paraId="4F60DF8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八、付款时间、金额及条件</w:t>
      </w:r>
    </w:p>
    <w:p w14:paraId="69DDA7FE">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（一）付款时间及付款金额：__________</w:t>
      </w:r>
    </w:p>
    <w:p w14:paraId="2B014E8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（二）付款条件：__________</w:t>
      </w:r>
    </w:p>
    <w:p w14:paraId="7D7FE76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（三）乙方账户信息</w:t>
      </w:r>
    </w:p>
    <w:p w14:paraId="5924507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乙方名称：__________</w:t>
      </w:r>
    </w:p>
    <w:p w14:paraId="2B81EC2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开户银行：__________</w:t>
      </w:r>
    </w:p>
    <w:p w14:paraId="4C973F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银行账号：__________</w:t>
      </w:r>
    </w:p>
    <w:p w14:paraId="4CFA8EF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九、货物质量保证及售后服务</w:t>
      </w:r>
    </w:p>
    <w:p w14:paraId="5671305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若招标（磋商、谈判）文件或询价通知书对货物质保期、售后服务有明确要求，遵照招标文件规定执行；若乙方在投标（响应）文件及磋商、谈判过程中，针对质保、售后作出更优书面承诺、声明或保证的，以乙方最优承诺为准。</w:t>
      </w:r>
    </w:p>
    <w:p w14:paraId="652EAF0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十、知识产权</w:t>
      </w:r>
    </w:p>
    <w:p w14:paraId="0154CDC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乙方保证本次交付货物不存在任何第三方知识产权侵权情形。若发生知识产权侵权纠纷，由乙方全权负责处理，并承担全部违约责任，赔偿甲方因此产生的名誉损失及全部经济损失。</w:t>
      </w:r>
    </w:p>
    <w:p w14:paraId="3FE50DB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十一、违约条款</w:t>
      </w:r>
    </w:p>
    <w:p w14:paraId="68AA73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（一）甲方无正当理由逾期支付合同款项的，每逾期一日，按照逾期支付金额__________的__________向乙方支付违约金。逾期达__________日的，乙方有权解除本合同，并要求甲方赔偿全部经济损失。</w:t>
      </w:r>
    </w:p>
    <w:p w14:paraId="2DDC8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（二）甲方存在其他合同违约行为的，需承担对应违约责任；违约金不足以弥补乙方损失的，乙方有权追偿剩余经济损失。</w:t>
      </w:r>
    </w:p>
    <w:p w14:paraId="326D4B4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（三）乙方逾期交付货物的，每逾期一日，按照合同总金额的__________向甲方支付违约金。逾期达__________日的，甲方有权解除合同、拒付对应货款，并要求乙方赔偿全部经济损失。</w:t>
      </w:r>
    </w:p>
    <w:p w14:paraId="06E9DC7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四）乙方交付货物质量不达标、未履行质保及售后服务义务、存在知识产权侵权等违约行为的，甲方有权退货，同时乙方需按照合同总金额__________%支付违约金；违约金不足以弥补甲方损失的，甲方有权追偿剩余经济损失。</w:t>
      </w:r>
    </w:p>
    <w:p w14:paraId="4A54239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五）乙方在本次采购活动中，存在虚假承诺、提供虚假材料、串通投标等违法违规行为的，除承担相应行政责任外，甲方有权解除合同，乙方需按照合同总金额__________%支付违约金，不足弥补甲方损失的，需补足全部经济损失。</w:t>
      </w:r>
    </w:p>
    <w:p w14:paraId="709CC34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（六）乙方存在其他合同违约行为的，需承担对应违约责任；违约金不足以弥补甲方损失的，甲方有权追偿剩余经济损失。</w:t>
      </w:r>
    </w:p>
    <w:p w14:paraId="6FFFC39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十二、不可抗力</w:t>
      </w:r>
    </w:p>
    <w:p w14:paraId="598EF5F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因不可抗力导致任意一方无法按时、完全履行合同的，违约方需及时书面告知对方，并在__________日内提供不可抗力有效证明文件，双方互不追究违约责任。合同未履行部分的履约方式、履约期限，由双方另行协商确定。</w:t>
      </w:r>
    </w:p>
    <w:p w14:paraId="0AF1EE4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十三、争议的解决方式</w:t>
      </w:r>
    </w:p>
    <w:p w14:paraId="56676F50">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本合同履行过程中产生争议，双方优先友好协商解决；协商不成的，按以下方式解决：</w:t>
      </w:r>
    </w:p>
    <w:p w14:paraId="05544C3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（一）提交__________仲裁委员会仲裁。</w:t>
      </w:r>
    </w:p>
    <w:p w14:paraId="07904A0F">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（二）向__________人民法院提起诉讼。</w:t>
      </w:r>
    </w:p>
    <w:p w14:paraId="7F117925">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十四、合同保存</w:t>
      </w:r>
    </w:p>
    <w:p w14:paraId="330E0538">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本合同文本一式__________份，采购单位、中标（成交）供应商、采购代理机构、__________各执一份，具有同等法律效力。合同保存期限自采购项目结束之日起，不少于十五年。</w:t>
      </w:r>
    </w:p>
    <w:p w14:paraId="50D77A14">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十五、合同附件</w:t>
      </w:r>
    </w:p>
    <w:p w14:paraId="6E3AC79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本合同附件为本合同不可分割的组成部分，与合同正文具备同等法律效力，具体附件如下：</w:t>
      </w:r>
    </w:p>
    <w:p w14:paraId="34717CE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1. 货物清单（双方盖章确认）</w:t>
      </w:r>
    </w:p>
    <w:p w14:paraId="21CB221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2. 乙方出具的报价单（函）</w:t>
      </w:r>
    </w:p>
    <w:p w14:paraId="0C0C86E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3. 中标（成交）结果公告及中标（成交）通知书</w:t>
      </w:r>
    </w:p>
    <w:p w14:paraId="6FC776F1">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4. 甲方招标（磋商、谈判）文件或询价通知书</w:t>
      </w:r>
    </w:p>
    <w:p w14:paraId="46D822F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5. 乙方投标（响应）文件</w:t>
      </w:r>
    </w:p>
    <w:p w14:paraId="771D213B">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6. 甲乙双方商定的其他文件</w:t>
      </w:r>
    </w:p>
    <w:p w14:paraId="69D07A7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十六、双方约定的其他条款</w:t>
      </w:r>
      <w:r>
        <w:rPr>
          <w:rFonts w:hint="eastAsia" w:ascii="仿宋_GB2312" w:hAnsi="仿宋_GB2312" w:eastAsia="仿宋_GB2312" w:cs="仿宋_GB2312"/>
          <w:sz w:val="21"/>
          <w:szCs w:val="21"/>
          <w:lang w:eastAsia="zh-CN" w:bidi="ar"/>
        </w:rPr>
        <w:t>__________________________________________________。</w:t>
      </w:r>
    </w:p>
    <w:p w14:paraId="6984F2DA">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十七、其他约定</w:t>
      </w:r>
    </w:p>
    <w:p w14:paraId="62520099">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本合同未尽事宜，双方可另行签订补充协议，补充协议与本合同具有同等法律效力。</w:t>
      </w:r>
    </w:p>
    <w:p w14:paraId="24FD344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十八、合同生效</w:t>
      </w:r>
    </w:p>
    <w:p w14:paraId="71BBE0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本合同自甲乙双方加盖公章之日起生效。</w:t>
      </w:r>
    </w:p>
    <w:p w14:paraId="32883E5D">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（以下无正文）</w:t>
      </w:r>
    </w:p>
    <w:p w14:paraId="37C78382">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甲方（采购单位）（盖章）</w:t>
      </w:r>
    </w:p>
    <w:p w14:paraId="1D9AB43C">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7EAB5826">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607AE3FB">
      <w:pPr>
        <w:widowControl/>
        <w:ind w:firstLine="422" w:firstLineChars="200"/>
        <w:jc w:val="both"/>
        <w:rPr>
          <w:rFonts w:ascii="仿宋_GB2312" w:hAnsi="仿宋_GB2312" w:eastAsia="仿宋_GB2312" w:cs="仿宋_GB2312"/>
          <w:sz w:val="21"/>
          <w:szCs w:val="21"/>
          <w:lang w:eastAsia="zh-CN"/>
        </w:rPr>
      </w:pPr>
      <w:r>
        <w:rPr>
          <w:rStyle w:val="14"/>
          <w:rFonts w:hint="eastAsia" w:ascii="仿宋_GB2312" w:hAnsi="仿宋_GB2312" w:eastAsia="仿宋_GB2312" w:cs="仿宋_GB2312"/>
          <w:sz w:val="21"/>
          <w:szCs w:val="21"/>
          <w:lang w:eastAsia="zh-CN" w:bidi="ar"/>
        </w:rPr>
        <w:t>乙方（供应商）（盖章）</w:t>
      </w:r>
    </w:p>
    <w:p w14:paraId="7D83F1A3">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法定代表人/负责人（签字）：______________</w:t>
      </w:r>
    </w:p>
    <w:p w14:paraId="4874BE37">
      <w:pPr>
        <w:widowControl/>
        <w:ind w:firstLine="420" w:firstLineChars="20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bidi="ar"/>
        </w:rPr>
        <w:t>______年____月____日</w:t>
      </w:r>
    </w:p>
    <w:p w14:paraId="56DA3569">
      <w:pPr>
        <w:pStyle w:val="3"/>
        <w:spacing w:before="76"/>
        <w:ind w:left="0"/>
        <w:rPr>
          <w:rFonts w:ascii="黑体" w:hAnsi="黑体" w:eastAsia="黑体" w:cs="黑体"/>
          <w:sz w:val="24"/>
          <w:szCs w:val="24"/>
          <w:lang w:eastAsia="zh-CN"/>
        </w:rPr>
      </w:pPr>
      <w:r>
        <w:rPr>
          <w:rFonts w:hint="eastAsia" w:ascii="黑体" w:hAnsi="黑体" w:eastAsia="黑体" w:cs="黑体"/>
          <w:sz w:val="24"/>
          <w:szCs w:val="24"/>
          <w:lang w:eastAsia="zh-CN"/>
        </w:rPr>
        <w:t>二.验收</w:t>
      </w:r>
    </w:p>
    <w:p w14:paraId="3B4FC510">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严格按照采购合同开展履约验收。采购人应当成立验收小组</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按照采购合同的约定对供应商履约情况进行验收。验收时</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应当按照采购合同的约定对每一项技术、服务、安全标准的履约情况进行确认。验收结束后</w:t>
      </w:r>
      <w:r>
        <w:rPr>
          <w:rFonts w:hint="eastAsia" w:ascii="仿宋_GB2312" w:hAnsi="仿宋_GB2312" w:eastAsia="仿宋_GB2312" w:cs="仿宋_GB2312"/>
          <w:w w:val="140"/>
          <w:sz w:val="24"/>
          <w:szCs w:val="24"/>
          <w:lang w:eastAsia="zh-CN"/>
        </w:rPr>
        <w:t>,</w:t>
      </w:r>
      <w:r>
        <w:rPr>
          <w:rFonts w:hint="eastAsia" w:ascii="仿宋_GB2312" w:hAnsi="仿宋_GB2312" w:eastAsia="仿宋_GB2312" w:cs="仿宋_GB2312"/>
          <w:sz w:val="24"/>
          <w:szCs w:val="24"/>
          <w:lang w:eastAsia="zh-CN"/>
        </w:rPr>
        <w:t>应当出具验收书（参考格式附后</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列明各项标准的验收情况及项目总体评价</w:t>
      </w:r>
      <w:r>
        <w:rPr>
          <w:rFonts w:hint="eastAsia" w:ascii="仿宋_GB2312" w:hAnsi="仿宋_GB2312" w:eastAsia="仿宋_GB2312" w:cs="仿宋_GB2312"/>
          <w:w w:val="130"/>
          <w:sz w:val="24"/>
          <w:szCs w:val="24"/>
          <w:lang w:eastAsia="zh-CN"/>
        </w:rPr>
        <w:t>,</w:t>
      </w:r>
      <w:r>
        <w:rPr>
          <w:rFonts w:hint="eastAsia" w:ascii="仿宋_GB2312" w:hAnsi="仿宋_GB2312" w:eastAsia="仿宋_GB2312" w:cs="仿宋_GB2312"/>
          <w:sz w:val="24"/>
          <w:szCs w:val="24"/>
          <w:lang w:eastAsia="zh-CN"/>
        </w:rPr>
        <w:t>由验收双方共同签署。验收结果应当与采购合同约定的资金支付及履约保证金返还条件挂钩。履约验收的各项资料应当存档备查。</w:t>
      </w:r>
    </w:p>
    <w:p w14:paraId="780EFC88">
      <w:pPr>
        <w:widowControl/>
        <w:autoSpaceDE/>
        <w:autoSpaceDN/>
        <w:rPr>
          <w:rFonts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eastAsia="zh-CN"/>
        </w:rPr>
        <w:br w:type="page"/>
      </w:r>
    </w:p>
    <w:p w14:paraId="1085BA93">
      <w:pPr>
        <w:pStyle w:val="3"/>
        <w:spacing w:before="64" w:line="300" w:lineRule="exact"/>
        <w:ind w:left="187" w:right="214"/>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政府采购货物履约验收书</w:t>
      </w:r>
    </w:p>
    <w:p w14:paraId="07D45176">
      <w:pPr>
        <w:spacing w:line="300" w:lineRule="exact"/>
        <w:ind w:left="187" w:right="214"/>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377EE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D41AF3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382" w:type="dxa"/>
            <w:gridSpan w:val="4"/>
            <w:vAlign w:val="center"/>
          </w:tcPr>
          <w:p w14:paraId="4F15D790">
            <w:pPr>
              <w:pStyle w:val="18"/>
              <w:jc w:val="both"/>
              <w:rPr>
                <w:rFonts w:ascii="仿宋_GB2312" w:hAnsi="仿宋_GB2312" w:eastAsia="仿宋_GB2312" w:cs="仿宋_GB2312"/>
                <w:sz w:val="21"/>
                <w:szCs w:val="21"/>
              </w:rPr>
            </w:pPr>
          </w:p>
        </w:tc>
      </w:tr>
      <w:tr w14:paraId="1922F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D306DDF">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项目编号</w:t>
            </w:r>
          </w:p>
        </w:tc>
        <w:tc>
          <w:tcPr>
            <w:tcW w:w="6382" w:type="dxa"/>
            <w:gridSpan w:val="4"/>
            <w:vAlign w:val="center"/>
          </w:tcPr>
          <w:p w14:paraId="0BA4069E">
            <w:pPr>
              <w:pStyle w:val="18"/>
              <w:jc w:val="both"/>
              <w:rPr>
                <w:rFonts w:ascii="仿宋_GB2312" w:hAnsi="仿宋_GB2312" w:eastAsia="仿宋_GB2312" w:cs="仿宋_GB2312"/>
                <w:sz w:val="21"/>
                <w:szCs w:val="21"/>
              </w:rPr>
            </w:pPr>
          </w:p>
        </w:tc>
      </w:tr>
      <w:tr w14:paraId="2FC72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43091A8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采购人</w:t>
            </w:r>
          </w:p>
        </w:tc>
        <w:tc>
          <w:tcPr>
            <w:tcW w:w="6382" w:type="dxa"/>
            <w:gridSpan w:val="4"/>
            <w:vAlign w:val="center"/>
          </w:tcPr>
          <w:p w14:paraId="4BC7D8B3">
            <w:pPr>
              <w:pStyle w:val="18"/>
              <w:jc w:val="both"/>
              <w:rPr>
                <w:rFonts w:ascii="仿宋_GB2312" w:hAnsi="仿宋_GB2312" w:eastAsia="仿宋_GB2312" w:cs="仿宋_GB2312"/>
                <w:sz w:val="21"/>
                <w:szCs w:val="21"/>
              </w:rPr>
            </w:pPr>
          </w:p>
        </w:tc>
      </w:tr>
      <w:tr w14:paraId="04AE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2FFE63A0">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使用人</w:t>
            </w:r>
          </w:p>
        </w:tc>
        <w:tc>
          <w:tcPr>
            <w:tcW w:w="6382" w:type="dxa"/>
            <w:gridSpan w:val="4"/>
            <w:vAlign w:val="center"/>
          </w:tcPr>
          <w:p w14:paraId="569EC848">
            <w:pPr>
              <w:pStyle w:val="18"/>
              <w:jc w:val="both"/>
              <w:rPr>
                <w:rFonts w:ascii="仿宋_GB2312" w:hAnsi="仿宋_GB2312" w:eastAsia="仿宋_GB2312" w:cs="仿宋_GB2312"/>
                <w:sz w:val="21"/>
                <w:szCs w:val="21"/>
              </w:rPr>
            </w:pPr>
          </w:p>
        </w:tc>
      </w:tr>
      <w:tr w14:paraId="3FE0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0571460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供应商</w:t>
            </w:r>
          </w:p>
        </w:tc>
        <w:tc>
          <w:tcPr>
            <w:tcW w:w="6382" w:type="dxa"/>
            <w:gridSpan w:val="4"/>
            <w:vAlign w:val="center"/>
          </w:tcPr>
          <w:p w14:paraId="182820D0">
            <w:pPr>
              <w:pStyle w:val="18"/>
              <w:jc w:val="both"/>
              <w:rPr>
                <w:rFonts w:ascii="仿宋_GB2312" w:hAnsi="仿宋_GB2312" w:eastAsia="仿宋_GB2312" w:cs="仿宋_GB2312"/>
                <w:sz w:val="21"/>
                <w:szCs w:val="21"/>
              </w:rPr>
            </w:pPr>
          </w:p>
        </w:tc>
      </w:tr>
      <w:tr w14:paraId="7B764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8" w:hRule="atLeast"/>
          <w:jc w:val="center"/>
        </w:trPr>
        <w:tc>
          <w:tcPr>
            <w:tcW w:w="2345" w:type="dxa"/>
            <w:vAlign w:val="center"/>
          </w:tcPr>
          <w:p w14:paraId="492FB7FB">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验收依据</w:t>
            </w:r>
          </w:p>
        </w:tc>
        <w:tc>
          <w:tcPr>
            <w:tcW w:w="6382" w:type="dxa"/>
            <w:gridSpan w:val="4"/>
            <w:vAlign w:val="center"/>
          </w:tcPr>
          <w:p w14:paraId="334DBA01">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政府采购合同（合同名称及编号）</w:t>
            </w:r>
          </w:p>
          <w:p w14:paraId="5512218C">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中标（成交）公告或中标（成交）通知书</w:t>
            </w:r>
          </w:p>
          <w:p w14:paraId="2BE1AB5B">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招标（磋商、谈判）文件或竞争性谈判通知书</w:t>
            </w:r>
          </w:p>
          <w:p w14:paraId="3899F1F5">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投标（响应）文件</w:t>
            </w:r>
          </w:p>
          <w:p w14:paraId="6948D493">
            <w:pPr>
              <w:pStyle w:val="18"/>
              <w:tabs>
                <w:tab w:val="left" w:pos="283"/>
              </w:tabs>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供应商的承诺、声明或保证（如有）</w:t>
            </w:r>
          </w:p>
          <w:p w14:paraId="311EC1B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注：验收依据可根据项目具体情况适当增加</w:t>
            </w:r>
          </w:p>
        </w:tc>
      </w:tr>
      <w:tr w14:paraId="54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17406EBF">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供应商对履约情况的总结及提供的相关证明材</w:t>
            </w:r>
          </w:p>
          <w:p w14:paraId="7B4DFAB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料</w:t>
            </w:r>
          </w:p>
        </w:tc>
        <w:tc>
          <w:tcPr>
            <w:tcW w:w="6382" w:type="dxa"/>
            <w:gridSpan w:val="4"/>
            <w:vAlign w:val="center"/>
          </w:tcPr>
          <w:p w14:paraId="65AAF967">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供应商根据采购合同的约定，对履约情况（包括但不限于采购合同中约定的货物数量、货物规格型号、生产厂家、交货时间、交货地点、验收情况、货物质量、售后服务等）进行总结，并提供相应的履约证明材料作为附件。</w:t>
            </w:r>
          </w:p>
        </w:tc>
      </w:tr>
      <w:tr w14:paraId="1A2C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68784B0D">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采购人（使用人）对履</w:t>
            </w:r>
          </w:p>
          <w:p w14:paraId="30507E0C">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约情况的确认</w:t>
            </w:r>
          </w:p>
        </w:tc>
        <w:tc>
          <w:tcPr>
            <w:tcW w:w="6382" w:type="dxa"/>
            <w:gridSpan w:val="4"/>
            <w:vAlign w:val="center"/>
          </w:tcPr>
          <w:p w14:paraId="63BBE555">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注：采购人或使用人根据采购合同约定，对供应商履约情况进行逐一确认。</w:t>
            </w:r>
          </w:p>
        </w:tc>
      </w:tr>
      <w:tr w14:paraId="5EAEF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2345" w:type="dxa"/>
            <w:vAlign w:val="center"/>
          </w:tcPr>
          <w:p w14:paraId="42708A5C">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验收人员名单及组成</w:t>
            </w:r>
          </w:p>
        </w:tc>
        <w:tc>
          <w:tcPr>
            <w:tcW w:w="6382" w:type="dxa"/>
            <w:gridSpan w:val="4"/>
            <w:vAlign w:val="center"/>
          </w:tcPr>
          <w:p w14:paraId="526783D7">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采购人代表：</w:t>
            </w:r>
          </w:p>
          <w:p w14:paraId="5A921519">
            <w:pPr>
              <w:pStyle w:val="18"/>
              <w:tabs>
                <w:tab w:val="left" w:pos="341"/>
              </w:tabs>
              <w:ind w:left="99"/>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第三方专业机构代表及专家：</w:t>
            </w:r>
          </w:p>
          <w:p w14:paraId="040B31D7">
            <w:pPr>
              <w:pStyle w:val="18"/>
              <w:tabs>
                <w:tab w:val="left" w:pos="341"/>
              </w:tabs>
              <w:ind w:left="99"/>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其他供应商代表：</w:t>
            </w:r>
          </w:p>
        </w:tc>
      </w:tr>
      <w:tr w14:paraId="6F272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jc w:val="center"/>
        </w:trPr>
        <w:tc>
          <w:tcPr>
            <w:tcW w:w="2345" w:type="dxa"/>
            <w:vAlign w:val="center"/>
          </w:tcPr>
          <w:p w14:paraId="4913D65E">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验收评价及结论</w:t>
            </w:r>
          </w:p>
        </w:tc>
        <w:tc>
          <w:tcPr>
            <w:tcW w:w="6382" w:type="dxa"/>
            <w:gridSpan w:val="4"/>
            <w:vAlign w:val="center"/>
          </w:tcPr>
          <w:p w14:paraId="1D9FD814">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评价：</w:t>
            </w:r>
          </w:p>
          <w:p w14:paraId="7F5E9E0E">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结论：</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 xml:space="preserve">通过 </w:t>
            </w:r>
            <w:r>
              <w:rPr>
                <w:rFonts w:ascii="Segoe UI Symbol" w:hAnsi="Segoe UI Symbol" w:eastAsia="仿宋_GB2312" w:cs="Segoe UI Symbol"/>
                <w:sz w:val="21"/>
                <w:szCs w:val="21"/>
                <w:lang w:eastAsia="zh-CN"/>
              </w:rPr>
              <w:t>☐</w:t>
            </w:r>
            <w:r>
              <w:rPr>
                <w:rFonts w:hint="eastAsia" w:ascii="仿宋_GB2312" w:hAnsi="仿宋_GB2312" w:eastAsia="仿宋_GB2312" w:cs="仿宋_GB2312"/>
                <w:sz w:val="21"/>
                <w:szCs w:val="21"/>
                <w:lang w:eastAsia="zh-CN"/>
              </w:rPr>
              <w:t>不通过，具体说明：</w:t>
            </w:r>
          </w:p>
        </w:tc>
      </w:tr>
      <w:tr w14:paraId="2A0EE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3E653297">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验收人员签字</w:t>
            </w:r>
          </w:p>
        </w:tc>
        <w:tc>
          <w:tcPr>
            <w:tcW w:w="3829" w:type="dxa"/>
            <w:tcBorders>
              <w:right w:val="nil"/>
            </w:tcBorders>
            <w:vAlign w:val="center"/>
          </w:tcPr>
          <w:p w14:paraId="123FD4C4">
            <w:pPr>
              <w:pStyle w:val="18"/>
              <w:jc w:val="both"/>
              <w:rPr>
                <w:rFonts w:ascii="仿宋_GB2312" w:hAnsi="仿宋_GB2312" w:eastAsia="仿宋_GB2312" w:cs="仿宋_GB2312"/>
                <w:sz w:val="21"/>
                <w:szCs w:val="21"/>
              </w:rPr>
            </w:pPr>
          </w:p>
        </w:tc>
        <w:tc>
          <w:tcPr>
            <w:tcW w:w="1189" w:type="dxa"/>
            <w:tcBorders>
              <w:left w:val="nil"/>
              <w:right w:val="nil"/>
            </w:tcBorders>
            <w:vAlign w:val="center"/>
          </w:tcPr>
          <w:p w14:paraId="03F40DA2">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C3D3319">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1C60C99A">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76204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jc w:val="center"/>
        </w:trPr>
        <w:tc>
          <w:tcPr>
            <w:tcW w:w="2345" w:type="dxa"/>
            <w:vAlign w:val="center"/>
          </w:tcPr>
          <w:p w14:paraId="219710E2">
            <w:pPr>
              <w:pStyle w:val="18"/>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采购人确认意见（注： 采购人委托代理机构验</w:t>
            </w:r>
          </w:p>
          <w:p w14:paraId="430620D4">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收时适用）</w:t>
            </w:r>
          </w:p>
        </w:tc>
        <w:tc>
          <w:tcPr>
            <w:tcW w:w="3829" w:type="dxa"/>
            <w:tcBorders>
              <w:right w:val="nil"/>
            </w:tcBorders>
            <w:vAlign w:val="center"/>
          </w:tcPr>
          <w:p w14:paraId="563107D0">
            <w:pPr>
              <w:pStyle w:val="18"/>
              <w:numPr>
                <w:ilvl w:val="0"/>
                <w:numId w:val="2"/>
              </w:numPr>
              <w:tabs>
                <w:tab w:val="left" w:pos="274"/>
              </w:tabs>
              <w:ind w:left="0" w:firstLine="0"/>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同意验收结论。</w:t>
            </w:r>
          </w:p>
          <w:p w14:paraId="3203D05A">
            <w:pPr>
              <w:pStyle w:val="18"/>
              <w:numPr>
                <w:ilvl w:val="0"/>
                <w:numId w:val="2"/>
              </w:numPr>
              <w:tabs>
                <w:tab w:val="left" w:pos="274"/>
              </w:tabs>
              <w:ind w:left="0" w:firstLine="0"/>
              <w:jc w:val="both"/>
              <w:rPr>
                <w:rFonts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不同意验收结论。具体说明：</w:t>
            </w:r>
          </w:p>
        </w:tc>
        <w:tc>
          <w:tcPr>
            <w:tcW w:w="1189" w:type="dxa"/>
            <w:tcBorders>
              <w:left w:val="nil"/>
              <w:right w:val="nil"/>
            </w:tcBorders>
            <w:vAlign w:val="center"/>
          </w:tcPr>
          <w:p w14:paraId="5057E56D">
            <w:pPr>
              <w:pStyle w:val="18"/>
              <w:jc w:val="both"/>
              <w:rPr>
                <w:rFonts w:ascii="仿宋_GB2312" w:hAnsi="仿宋_GB2312" w:eastAsia="仿宋_GB2312" w:cs="仿宋_GB2312"/>
                <w:b/>
                <w:sz w:val="21"/>
                <w:szCs w:val="21"/>
                <w:lang w:eastAsia="zh-CN"/>
              </w:rPr>
            </w:pPr>
          </w:p>
          <w:p w14:paraId="366D6E2B">
            <w:pPr>
              <w:pStyle w:val="18"/>
              <w:jc w:val="both"/>
              <w:rPr>
                <w:rFonts w:ascii="仿宋_GB2312" w:hAnsi="仿宋_GB2312" w:eastAsia="仿宋_GB2312" w:cs="仿宋_GB2312"/>
                <w:b/>
                <w:sz w:val="21"/>
                <w:szCs w:val="21"/>
                <w:lang w:eastAsia="zh-CN"/>
              </w:rPr>
            </w:pPr>
          </w:p>
          <w:p w14:paraId="5144825C">
            <w:pPr>
              <w:pStyle w:val="18"/>
              <w:jc w:val="both"/>
              <w:rPr>
                <w:rFonts w:ascii="仿宋_GB2312" w:hAnsi="仿宋_GB2312" w:eastAsia="仿宋_GB2312" w:cs="仿宋_GB2312"/>
                <w:b/>
                <w:sz w:val="21"/>
                <w:szCs w:val="21"/>
                <w:lang w:eastAsia="zh-CN"/>
              </w:rPr>
            </w:pPr>
          </w:p>
          <w:p w14:paraId="2584D9F0">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年</w:t>
            </w:r>
          </w:p>
        </w:tc>
        <w:tc>
          <w:tcPr>
            <w:tcW w:w="737" w:type="dxa"/>
            <w:tcBorders>
              <w:left w:val="nil"/>
              <w:right w:val="nil"/>
            </w:tcBorders>
            <w:vAlign w:val="center"/>
          </w:tcPr>
          <w:p w14:paraId="29DDEBD7">
            <w:pPr>
              <w:pStyle w:val="18"/>
              <w:jc w:val="both"/>
              <w:rPr>
                <w:rFonts w:ascii="仿宋_GB2312" w:hAnsi="仿宋_GB2312" w:eastAsia="仿宋_GB2312" w:cs="仿宋_GB2312"/>
                <w:b/>
                <w:sz w:val="21"/>
                <w:szCs w:val="21"/>
              </w:rPr>
            </w:pPr>
          </w:p>
          <w:p w14:paraId="7BA74D6E">
            <w:pPr>
              <w:pStyle w:val="18"/>
              <w:jc w:val="both"/>
              <w:rPr>
                <w:rFonts w:ascii="仿宋_GB2312" w:hAnsi="仿宋_GB2312" w:eastAsia="仿宋_GB2312" w:cs="仿宋_GB2312"/>
                <w:b/>
                <w:sz w:val="21"/>
                <w:szCs w:val="21"/>
              </w:rPr>
            </w:pPr>
          </w:p>
          <w:p w14:paraId="12A6664B">
            <w:pPr>
              <w:pStyle w:val="18"/>
              <w:jc w:val="both"/>
              <w:rPr>
                <w:rFonts w:ascii="仿宋_GB2312" w:hAnsi="仿宋_GB2312" w:eastAsia="仿宋_GB2312" w:cs="仿宋_GB2312"/>
                <w:b/>
                <w:sz w:val="21"/>
                <w:szCs w:val="21"/>
              </w:rPr>
            </w:pPr>
          </w:p>
          <w:p w14:paraId="05FD1B38">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月</w:t>
            </w:r>
          </w:p>
        </w:tc>
        <w:tc>
          <w:tcPr>
            <w:tcW w:w="627" w:type="dxa"/>
            <w:tcBorders>
              <w:left w:val="nil"/>
            </w:tcBorders>
            <w:vAlign w:val="center"/>
          </w:tcPr>
          <w:p w14:paraId="653715A6">
            <w:pPr>
              <w:pStyle w:val="18"/>
              <w:jc w:val="both"/>
              <w:rPr>
                <w:rFonts w:ascii="仿宋_GB2312" w:hAnsi="仿宋_GB2312" w:eastAsia="仿宋_GB2312" w:cs="仿宋_GB2312"/>
                <w:b/>
                <w:sz w:val="21"/>
                <w:szCs w:val="21"/>
              </w:rPr>
            </w:pPr>
          </w:p>
          <w:p w14:paraId="35F34C76">
            <w:pPr>
              <w:pStyle w:val="18"/>
              <w:jc w:val="both"/>
              <w:rPr>
                <w:rFonts w:ascii="仿宋_GB2312" w:hAnsi="仿宋_GB2312" w:eastAsia="仿宋_GB2312" w:cs="仿宋_GB2312"/>
                <w:b/>
                <w:sz w:val="21"/>
                <w:szCs w:val="21"/>
              </w:rPr>
            </w:pPr>
          </w:p>
          <w:p w14:paraId="7358E035">
            <w:pPr>
              <w:pStyle w:val="18"/>
              <w:jc w:val="both"/>
              <w:rPr>
                <w:rFonts w:ascii="仿宋_GB2312" w:hAnsi="仿宋_GB2312" w:eastAsia="仿宋_GB2312" w:cs="仿宋_GB2312"/>
                <w:b/>
                <w:sz w:val="21"/>
                <w:szCs w:val="21"/>
              </w:rPr>
            </w:pPr>
          </w:p>
          <w:p w14:paraId="5E574DED">
            <w:pPr>
              <w:pStyle w:val="18"/>
              <w:jc w:val="both"/>
              <w:rPr>
                <w:rFonts w:ascii="仿宋_GB2312" w:hAnsi="仿宋_GB2312" w:eastAsia="仿宋_GB2312" w:cs="仿宋_GB2312"/>
                <w:sz w:val="21"/>
                <w:szCs w:val="21"/>
              </w:rPr>
            </w:pPr>
            <w:r>
              <w:rPr>
                <w:rFonts w:hint="eastAsia" w:ascii="仿宋_GB2312" w:hAnsi="仿宋_GB2312" w:eastAsia="仿宋_GB2312" w:cs="仿宋_GB2312"/>
                <w:w w:val="101"/>
                <w:sz w:val="21"/>
                <w:szCs w:val="21"/>
              </w:rPr>
              <w:t>日</w:t>
            </w:r>
          </w:p>
        </w:tc>
      </w:tr>
      <w:tr w14:paraId="2A5FE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2345" w:type="dxa"/>
            <w:vAlign w:val="center"/>
          </w:tcPr>
          <w:p w14:paraId="58EC2D55">
            <w:pPr>
              <w:pStyle w:val="18"/>
              <w:jc w:val="both"/>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6382" w:type="dxa"/>
            <w:gridSpan w:val="4"/>
            <w:vAlign w:val="center"/>
          </w:tcPr>
          <w:p w14:paraId="43930264">
            <w:pPr>
              <w:pStyle w:val="18"/>
              <w:jc w:val="both"/>
              <w:rPr>
                <w:rFonts w:ascii="仿宋_GB2312" w:hAnsi="仿宋_GB2312" w:eastAsia="仿宋_GB2312" w:cs="仿宋_GB2312"/>
                <w:sz w:val="21"/>
                <w:szCs w:val="21"/>
              </w:rPr>
            </w:pPr>
          </w:p>
        </w:tc>
      </w:tr>
    </w:tbl>
    <w:p w14:paraId="53AB6AD7">
      <w:pPr>
        <w:pStyle w:val="7"/>
        <w:spacing w:before="2" w:line="300" w:lineRule="exact"/>
        <w:rPr>
          <w:rFonts w:ascii="仿宋_GB2312" w:hAnsi="仿宋_GB2312" w:eastAsia="仿宋_GB2312" w:cs="仿宋_GB2312"/>
          <w:b/>
          <w:sz w:val="24"/>
          <w:szCs w:val="24"/>
        </w:rPr>
      </w:pPr>
    </w:p>
    <w:p w14:paraId="61101C0D">
      <w:pPr>
        <w:pStyle w:val="7"/>
        <w:spacing w:before="5" w:line="300" w:lineRule="exact"/>
        <w:rPr>
          <w:rFonts w:ascii="仿宋_GB2312" w:hAnsi="仿宋_GB2312" w:eastAsia="仿宋_GB2312" w:cs="仿宋_GB2312"/>
          <w:b/>
          <w:sz w:val="24"/>
          <w:szCs w:val="24"/>
        </w:rPr>
      </w:pPr>
    </w:p>
    <w:p w14:paraId="216F95FE">
      <w:pPr>
        <w:spacing w:line="300" w:lineRule="exact"/>
        <w:rPr>
          <w:rFonts w:ascii="仿宋_GB2312" w:hAnsi="仿宋_GB2312" w:eastAsia="仿宋_GB2312" w:cs="仿宋_GB2312"/>
          <w:sz w:val="24"/>
          <w:szCs w:val="24"/>
        </w:rPr>
        <w:sectPr>
          <w:headerReference r:id="rId7" w:type="default"/>
          <w:footerReference r:id="rId8" w:type="default"/>
          <w:pgSz w:w="11900" w:h="16840"/>
          <w:pgMar w:top="1587" w:right="1587" w:bottom="1587" w:left="1587" w:header="0" w:footer="93" w:gutter="0"/>
          <w:cols w:space="720" w:num="1"/>
        </w:sectPr>
      </w:pPr>
    </w:p>
    <w:p w14:paraId="221FAA33">
      <w:pPr>
        <w:pStyle w:val="7"/>
        <w:tabs>
          <w:tab w:val="left" w:pos="1162"/>
          <w:tab w:val="left" w:pos="1594"/>
        </w:tabs>
        <w:spacing w:before="53" w:line="300" w:lineRule="exact"/>
        <w:ind w:left="220" w:right="-1160" w:hanging="22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采购人代表签字</w:t>
      </w:r>
      <w:r>
        <w:rPr>
          <w:rFonts w:hint="eastAsia" w:ascii="仿宋_GB2312" w:hAnsi="仿宋_GB2312" w:eastAsia="仿宋_GB2312" w:cs="仿宋_GB2312"/>
          <w:spacing w:val="-17"/>
          <w:sz w:val="24"/>
          <w:szCs w:val="24"/>
          <w:lang w:eastAsia="zh-CN"/>
        </w:rPr>
        <w:t xml:space="preserve">： </w:t>
      </w:r>
      <w:r>
        <w:rPr>
          <w:rFonts w:hint="eastAsia" w:ascii="仿宋_GB2312" w:hAnsi="仿宋_GB2312" w:eastAsia="仿宋_GB2312" w:cs="仿宋_GB2312"/>
          <w:sz w:val="24"/>
          <w:szCs w:val="24"/>
          <w:lang w:eastAsia="zh-CN"/>
        </w:rPr>
        <w:t>年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62F3D5CE">
      <w:pPr>
        <w:pStyle w:val="7"/>
        <w:tabs>
          <w:tab w:val="left" w:pos="1162"/>
          <w:tab w:val="left" w:pos="1594"/>
          <w:tab w:val="left" w:pos="2640"/>
        </w:tabs>
        <w:spacing w:before="53" w:line="300" w:lineRule="exact"/>
        <w:ind w:left="670" w:right="1427" w:firstLine="210"/>
        <w:rPr>
          <w:rFonts w:ascii="仿宋_GB2312" w:hAnsi="仿宋_GB2312" w:eastAsia="仿宋_GB2312" w:cs="仿宋_GB2312"/>
          <w:spacing w:val="-18"/>
          <w:sz w:val="24"/>
          <w:szCs w:val="24"/>
          <w:lang w:eastAsia="zh-CN"/>
        </w:rPr>
      </w:pPr>
      <w:r>
        <w:rPr>
          <w:rFonts w:hint="eastAsia" w:ascii="仿宋_GB2312" w:hAnsi="仿宋_GB2312" w:eastAsia="仿宋_GB2312" w:cs="仿宋_GB2312"/>
          <w:sz w:val="24"/>
          <w:szCs w:val="24"/>
          <w:lang w:eastAsia="zh-CN"/>
        </w:rPr>
        <w:br w:type="column"/>
      </w:r>
      <w:r>
        <w:rPr>
          <w:rFonts w:hint="eastAsia" w:ascii="仿宋_GB2312" w:hAnsi="仿宋_GB2312" w:eastAsia="仿宋_GB2312" w:cs="仿宋_GB2312"/>
          <w:sz w:val="24"/>
          <w:szCs w:val="24"/>
          <w:lang w:eastAsia="zh-CN"/>
        </w:rPr>
        <w:t>供应商代表签字</w:t>
      </w:r>
      <w:r>
        <w:rPr>
          <w:rFonts w:hint="eastAsia" w:ascii="仿宋_GB2312" w:hAnsi="仿宋_GB2312" w:eastAsia="仿宋_GB2312" w:cs="仿宋_GB2312"/>
          <w:spacing w:val="-18"/>
          <w:sz w:val="24"/>
          <w:szCs w:val="24"/>
          <w:lang w:eastAsia="zh-CN"/>
        </w:rPr>
        <w:t xml:space="preserve">： </w:t>
      </w:r>
    </w:p>
    <w:p w14:paraId="46CA3D64">
      <w:pPr>
        <w:pStyle w:val="7"/>
        <w:tabs>
          <w:tab w:val="left" w:pos="1162"/>
          <w:tab w:val="left" w:pos="1594"/>
          <w:tab w:val="left" w:pos="2640"/>
        </w:tabs>
        <w:spacing w:before="53" w:line="300" w:lineRule="exact"/>
        <w:ind w:left="670" w:right="1427" w:firstLine="210"/>
        <w:rPr>
          <w:lang w:eastAsia="zh-CN"/>
        </w:rPr>
      </w:pPr>
      <w:r>
        <w:rPr>
          <w:rFonts w:hint="eastAsia" w:ascii="仿宋_GB2312" w:hAnsi="仿宋_GB2312" w:eastAsia="仿宋_GB2312" w:cs="仿宋_GB2312"/>
          <w:spacing w:val="-18"/>
          <w:sz w:val="24"/>
          <w:szCs w:val="24"/>
          <w:lang w:eastAsia="zh-CN"/>
        </w:rPr>
        <w:t xml:space="preserve"> </w:t>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日</w:t>
      </w:r>
    </w:p>
    <w:p w14:paraId="4C9843C4">
      <w:pPr>
        <w:spacing w:line="300" w:lineRule="exact"/>
        <w:rPr>
          <w:lang w:eastAsia="zh-CN"/>
        </w:rPr>
        <w:sectPr>
          <w:type w:val="continuous"/>
          <w:pgSz w:w="11900" w:h="16840"/>
          <w:pgMar w:top="1600" w:right="1587" w:bottom="1587" w:left="1587" w:header="720" w:footer="720" w:gutter="0"/>
          <w:cols w:equalWidth="0" w:num="2">
            <w:col w:w="1040" w:space="3106"/>
            <w:col w:w="4580"/>
          </w:cols>
        </w:sectPr>
      </w:pPr>
    </w:p>
    <w:p w14:paraId="595FE2D5">
      <w:pPr>
        <w:pStyle w:val="2"/>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第七章 响应文件格式与要求</w:t>
      </w:r>
    </w:p>
    <w:p w14:paraId="53B6A3AA">
      <w:pPr>
        <w:pStyle w:val="19"/>
        <w:rPr>
          <w:lang w:eastAsia="zh-CN"/>
        </w:rPr>
      </w:pPr>
    </w:p>
    <w:p w14:paraId="29BDB675">
      <w:pPr>
        <w:pStyle w:val="3"/>
        <w:ind w:left="0"/>
        <w:jc w:val="both"/>
        <w:rPr>
          <w:rFonts w:ascii="黑体" w:hAnsi="黑体" w:eastAsia="黑体" w:cs="黑体"/>
          <w:sz w:val="24"/>
          <w:szCs w:val="24"/>
          <w:lang w:eastAsia="zh-CN"/>
        </w:rPr>
      </w:pPr>
      <w:r>
        <w:rPr>
          <w:rFonts w:hint="eastAsia" w:ascii="黑体" w:hAnsi="黑体" w:eastAsia="黑体" w:cs="黑体"/>
          <w:sz w:val="24"/>
          <w:szCs w:val="24"/>
          <w:lang w:eastAsia="zh-CN"/>
        </w:rPr>
        <w:t>一、供应商按照以下格式编制响应文件。</w:t>
      </w:r>
    </w:p>
    <w:p w14:paraId="5D089F41">
      <w:pPr>
        <w:rPr>
          <w:lang w:eastAsia="zh-CN"/>
        </w:rPr>
      </w:pPr>
    </w:p>
    <w:p w14:paraId="24199C36">
      <w:pPr>
        <w:pStyle w:val="22"/>
      </w:pPr>
      <w:r>
        <w:rPr>
          <w:rFonts w:hint="eastAsia"/>
        </w:rPr>
        <w:t>响应文件封面格式：</w:t>
      </w:r>
    </w:p>
    <w:p w14:paraId="0FD05A37">
      <w:pPr>
        <w:rPr>
          <w:lang w:eastAsia="zh-CN"/>
        </w:rPr>
      </w:pPr>
    </w:p>
    <w:p w14:paraId="3CED18BE">
      <w:pPr>
        <w:pStyle w:val="19"/>
        <w:jc w:val="center"/>
        <w:rPr>
          <w:rFonts w:ascii="黑体" w:hAnsi="黑体" w:eastAsia="黑体"/>
          <w:b/>
          <w:bCs/>
          <w:sz w:val="56"/>
          <w:szCs w:val="56"/>
          <w:lang w:eastAsia="zh-CN"/>
        </w:rPr>
      </w:pPr>
      <w:r>
        <w:rPr>
          <w:rFonts w:hint="eastAsia" w:ascii="黑体" w:hAnsi="黑体" w:eastAsia="黑体"/>
          <w:sz w:val="56"/>
          <w:szCs w:val="56"/>
          <w:lang w:eastAsia="zh-CN"/>
        </w:rPr>
        <w:t>巴彦淖尔市医院XXXX项目</w:t>
      </w:r>
    </w:p>
    <w:p w14:paraId="3C8B6D62">
      <w:pPr>
        <w:pStyle w:val="19"/>
        <w:jc w:val="center"/>
        <w:rPr>
          <w:rFonts w:ascii="黑体" w:hAnsi="黑体" w:eastAsia="黑体"/>
          <w:sz w:val="21"/>
          <w:szCs w:val="21"/>
          <w:lang w:eastAsia="zh-CN"/>
        </w:rPr>
      </w:pPr>
    </w:p>
    <w:p w14:paraId="706DEA41">
      <w:pPr>
        <w:pStyle w:val="19"/>
        <w:jc w:val="center"/>
        <w:rPr>
          <w:rFonts w:ascii="黑体" w:hAnsi="黑体" w:eastAsia="黑体"/>
          <w:sz w:val="21"/>
          <w:szCs w:val="21"/>
          <w:lang w:eastAsia="zh-CN"/>
        </w:rPr>
      </w:pPr>
    </w:p>
    <w:p w14:paraId="25732153">
      <w:pPr>
        <w:pStyle w:val="19"/>
        <w:jc w:val="center"/>
        <w:rPr>
          <w:rFonts w:ascii="黑体" w:hAnsi="黑体" w:eastAsia="黑体"/>
          <w:sz w:val="21"/>
          <w:szCs w:val="21"/>
          <w:lang w:eastAsia="zh-CN"/>
        </w:rPr>
      </w:pPr>
    </w:p>
    <w:p w14:paraId="75901E39">
      <w:pPr>
        <w:pStyle w:val="19"/>
        <w:jc w:val="center"/>
        <w:rPr>
          <w:rFonts w:ascii="黑体" w:hAnsi="黑体" w:eastAsia="黑体"/>
          <w:sz w:val="48"/>
          <w:szCs w:val="48"/>
          <w:lang w:eastAsia="zh-CN"/>
        </w:rPr>
      </w:pPr>
      <w:r>
        <w:rPr>
          <w:rFonts w:hint="eastAsia" w:ascii="黑体" w:hAnsi="黑体" w:eastAsia="黑体"/>
          <w:sz w:val="48"/>
          <w:szCs w:val="48"/>
          <w:lang w:eastAsia="zh-CN"/>
        </w:rPr>
        <w:t>响应文件</w:t>
      </w:r>
    </w:p>
    <w:p w14:paraId="29C964B6">
      <w:pPr>
        <w:pStyle w:val="19"/>
        <w:jc w:val="center"/>
        <w:rPr>
          <w:rFonts w:ascii="黑体" w:hAnsi="黑体" w:eastAsia="黑体"/>
          <w:sz w:val="48"/>
          <w:szCs w:val="48"/>
          <w:lang w:eastAsia="zh-CN"/>
        </w:rPr>
      </w:pPr>
      <w:r>
        <w:rPr>
          <w:rFonts w:hint="eastAsia" w:ascii="黑体" w:hAnsi="黑体" w:eastAsia="黑体"/>
          <w:sz w:val="48"/>
          <w:szCs w:val="48"/>
          <w:lang w:eastAsia="zh-CN"/>
        </w:rPr>
        <w:t>（正/副本）</w:t>
      </w:r>
    </w:p>
    <w:p w14:paraId="26AD0FC5">
      <w:pPr>
        <w:pStyle w:val="19"/>
        <w:jc w:val="center"/>
        <w:rPr>
          <w:rFonts w:ascii="黑体" w:hAnsi="黑体" w:eastAsia="黑体"/>
          <w:sz w:val="21"/>
          <w:szCs w:val="21"/>
          <w:lang w:eastAsia="zh-CN"/>
        </w:rPr>
      </w:pPr>
    </w:p>
    <w:p w14:paraId="47799CA3">
      <w:pPr>
        <w:pStyle w:val="19"/>
        <w:jc w:val="center"/>
        <w:rPr>
          <w:rFonts w:ascii="黑体" w:hAnsi="黑体" w:eastAsia="黑体"/>
          <w:sz w:val="21"/>
          <w:szCs w:val="21"/>
          <w:lang w:eastAsia="zh-CN"/>
        </w:rPr>
      </w:pPr>
    </w:p>
    <w:p w14:paraId="779AF684">
      <w:pPr>
        <w:pStyle w:val="19"/>
        <w:jc w:val="center"/>
        <w:rPr>
          <w:rFonts w:ascii="黑体" w:hAnsi="黑体" w:eastAsia="黑体"/>
          <w:sz w:val="21"/>
          <w:szCs w:val="21"/>
          <w:lang w:eastAsia="zh-CN"/>
        </w:rPr>
      </w:pPr>
    </w:p>
    <w:p w14:paraId="1EE9B0FE">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项目编号：BSYY-2026-XXXX</w:t>
      </w:r>
    </w:p>
    <w:p w14:paraId="7D95A7A1">
      <w:pPr>
        <w:pStyle w:val="19"/>
        <w:ind w:firstLine="1920" w:firstLineChars="600"/>
        <w:rPr>
          <w:rFonts w:ascii="黑体" w:hAnsi="黑体" w:eastAsia="黑体"/>
          <w:sz w:val="32"/>
          <w:szCs w:val="32"/>
          <w:lang w:eastAsia="zh-CN"/>
        </w:rPr>
      </w:pPr>
      <w:r>
        <w:rPr>
          <w:rFonts w:hint="eastAsia" w:ascii="黑体" w:hAnsi="黑体" w:eastAsia="黑体"/>
          <w:sz w:val="32"/>
          <w:szCs w:val="32"/>
          <w:lang w:eastAsia="zh-CN"/>
        </w:rPr>
        <w:t>包    号：第XX包</w:t>
      </w:r>
    </w:p>
    <w:p w14:paraId="7A505E4C">
      <w:pPr>
        <w:pStyle w:val="19"/>
        <w:jc w:val="center"/>
        <w:rPr>
          <w:rFonts w:ascii="黑体" w:hAnsi="黑体" w:eastAsia="黑体"/>
          <w:sz w:val="32"/>
          <w:szCs w:val="32"/>
          <w:lang w:eastAsia="zh-CN"/>
        </w:rPr>
      </w:pPr>
    </w:p>
    <w:p w14:paraId="7C926450">
      <w:pPr>
        <w:pStyle w:val="19"/>
        <w:jc w:val="center"/>
        <w:rPr>
          <w:rFonts w:ascii="黑体" w:hAnsi="黑体" w:eastAsia="黑体"/>
          <w:sz w:val="32"/>
          <w:szCs w:val="32"/>
          <w:lang w:eastAsia="zh-CN"/>
        </w:rPr>
      </w:pPr>
    </w:p>
    <w:p w14:paraId="294C0FF2">
      <w:pPr>
        <w:pStyle w:val="19"/>
        <w:jc w:val="center"/>
        <w:rPr>
          <w:rFonts w:ascii="黑体" w:hAnsi="黑体" w:eastAsia="黑体"/>
          <w:sz w:val="32"/>
          <w:szCs w:val="32"/>
          <w:lang w:eastAsia="zh-CN"/>
        </w:rPr>
      </w:pPr>
      <w:r>
        <w:rPr>
          <w:rFonts w:hint="eastAsia" w:ascii="黑体" w:hAnsi="黑体" w:eastAsia="黑体"/>
          <w:sz w:val="32"/>
          <w:szCs w:val="32"/>
          <w:lang w:eastAsia="zh-CN"/>
        </w:rPr>
        <w:t>供货商名称：               （盖章）</w:t>
      </w:r>
    </w:p>
    <w:p w14:paraId="2D348083">
      <w:pPr>
        <w:pStyle w:val="19"/>
        <w:jc w:val="center"/>
        <w:rPr>
          <w:rFonts w:ascii="黑体" w:hAnsi="黑体" w:eastAsia="黑体"/>
          <w:sz w:val="32"/>
          <w:szCs w:val="32"/>
          <w:lang w:eastAsia="zh-CN"/>
        </w:rPr>
      </w:pPr>
    </w:p>
    <w:p w14:paraId="530C717A">
      <w:pPr>
        <w:pStyle w:val="19"/>
        <w:jc w:val="center"/>
        <w:rPr>
          <w:rFonts w:ascii="黑体" w:hAnsi="黑体" w:eastAsia="黑体"/>
          <w:sz w:val="32"/>
          <w:szCs w:val="32"/>
          <w:lang w:eastAsia="zh-CN"/>
        </w:rPr>
      </w:pPr>
      <w:r>
        <w:rPr>
          <w:rFonts w:hint="eastAsia" w:ascii="黑体" w:hAnsi="黑体" w:eastAsia="黑体"/>
          <w:sz w:val="32"/>
          <w:szCs w:val="32"/>
          <w:lang w:eastAsia="zh-CN"/>
        </w:rPr>
        <w:t>年      月     日</w:t>
      </w:r>
    </w:p>
    <w:p w14:paraId="67000246">
      <w:pPr>
        <w:widowControl/>
        <w:autoSpaceDE/>
        <w:autoSpaceDN/>
        <w:rPr>
          <w:rFonts w:ascii="仿宋_GB2312" w:hAnsi="仿宋_GB2312" w:eastAsia="仿宋_GB2312" w:cs="仿宋_GB2312"/>
          <w:b/>
          <w:bCs/>
          <w:w w:val="110"/>
          <w:sz w:val="24"/>
          <w:szCs w:val="24"/>
          <w:lang w:eastAsia="zh-CN"/>
        </w:rPr>
      </w:pPr>
      <w:r>
        <w:rPr>
          <w:rFonts w:hint="eastAsia" w:ascii="仿宋_GB2312" w:hAnsi="仿宋_GB2312" w:eastAsia="仿宋_GB2312" w:cs="仿宋_GB2312"/>
          <w:w w:val="110"/>
          <w:sz w:val="24"/>
          <w:szCs w:val="24"/>
          <w:lang w:eastAsia="zh-CN"/>
        </w:rPr>
        <w:br w:type="page"/>
      </w:r>
    </w:p>
    <w:p w14:paraId="04CE5FC5">
      <w:pPr>
        <w:pStyle w:val="22"/>
      </w:pPr>
      <w:r>
        <w:rPr>
          <w:rFonts w:hint="eastAsia"/>
        </w:rPr>
        <w:t>响应文件目录格式:</w:t>
      </w:r>
    </w:p>
    <w:p w14:paraId="2FFEF421">
      <w:pPr>
        <w:pStyle w:val="7"/>
        <w:spacing w:before="9"/>
        <w:rPr>
          <w:b/>
          <w:sz w:val="8"/>
          <w:lang w:eastAsia="zh-CN"/>
        </w:rPr>
      </w:pPr>
    </w:p>
    <w:p w14:paraId="4CECB45E">
      <w:pPr>
        <w:pStyle w:val="19"/>
        <w:jc w:val="center"/>
        <w:rPr>
          <w:rFonts w:ascii="仿宋" w:hAnsi="仿宋" w:eastAsia="仿宋"/>
          <w:b/>
          <w:bCs/>
          <w:sz w:val="28"/>
          <w:szCs w:val="28"/>
          <w:lang w:eastAsia="zh-CN"/>
        </w:rPr>
      </w:pPr>
      <w:r>
        <w:rPr>
          <w:rFonts w:hint="eastAsia" w:ascii="仿宋" w:hAnsi="仿宋" w:eastAsia="仿宋"/>
          <w:b/>
          <w:bCs/>
          <w:sz w:val="28"/>
          <w:szCs w:val="28"/>
          <w:lang w:eastAsia="zh-CN"/>
        </w:rPr>
        <w:t>目 录</w:t>
      </w:r>
    </w:p>
    <w:p w14:paraId="0C43917D">
      <w:pPr>
        <w:spacing w:before="75"/>
        <w:ind w:left="187" w:right="214"/>
        <w:jc w:val="center"/>
        <w:rPr>
          <w:rFonts w:ascii="仿宋_GB2312" w:hAnsi="仿宋_GB2312" w:eastAsia="仿宋_GB2312" w:cs="仿宋_GB2312"/>
          <w:b/>
          <w:sz w:val="24"/>
          <w:szCs w:val="24"/>
          <w:lang w:eastAsia="zh-CN"/>
        </w:rPr>
      </w:pPr>
    </w:p>
    <w:p w14:paraId="3DB88AAC">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一、响应承诺书</w:t>
      </w:r>
    </w:p>
    <w:p w14:paraId="73A6355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二、报价一览表</w:t>
      </w:r>
    </w:p>
    <w:p w14:paraId="1B89DD91">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三、分项报价表</w:t>
      </w:r>
    </w:p>
    <w:p w14:paraId="05683D32">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四、授权委托书</w:t>
      </w:r>
    </w:p>
    <w:p w14:paraId="16EE8A55">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五、供应商基本情况表</w:t>
      </w:r>
    </w:p>
    <w:p w14:paraId="718EE4B4">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六、具有独立承担民事责任的能力的证明材料</w:t>
      </w:r>
    </w:p>
    <w:p w14:paraId="5EE7E0E8">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七、具有良好的商业信誉和健全的财务会计制度的相关材料</w:t>
      </w:r>
    </w:p>
    <w:p w14:paraId="70777524">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八、依法缴纳税收和社会保障资金的良好记录的相关材料 </w:t>
      </w:r>
    </w:p>
    <w:p w14:paraId="3987BF33">
      <w:pPr>
        <w:pStyle w:val="19"/>
        <w:spacing w:line="240" w:lineRule="auto"/>
        <w:rPr>
          <w:rFonts w:ascii="仿宋" w:hAnsi="仿宋" w:eastAsia="仿宋"/>
          <w:b/>
          <w:bCs/>
          <w:sz w:val="24"/>
          <w:szCs w:val="24"/>
          <w:lang w:eastAsia="zh-CN"/>
        </w:rPr>
      </w:pPr>
      <w:r>
        <w:rPr>
          <w:rFonts w:hint="eastAsia" w:ascii="仿宋" w:hAnsi="仿宋" w:eastAsia="仿宋"/>
          <w:spacing w:val="-1"/>
          <w:sz w:val="24"/>
          <w:szCs w:val="24"/>
          <w:lang w:eastAsia="zh-CN"/>
        </w:rPr>
        <w:t>九、具有履行合同所必需的设备和专业技术能力的证明材料</w:t>
      </w:r>
    </w:p>
    <w:p w14:paraId="55AED12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十、参加政府采购活动前</w:t>
      </w:r>
      <w:r>
        <w:rPr>
          <w:rFonts w:hint="eastAsia" w:ascii="仿宋" w:hAnsi="仿宋" w:eastAsia="仿宋"/>
          <w:w w:val="110"/>
          <w:sz w:val="24"/>
          <w:szCs w:val="24"/>
          <w:lang w:eastAsia="zh-CN"/>
        </w:rPr>
        <w:t>3</w:t>
      </w:r>
      <w:r>
        <w:rPr>
          <w:rFonts w:hint="eastAsia" w:ascii="仿宋" w:hAnsi="仿宋" w:eastAsia="仿宋"/>
          <w:sz w:val="24"/>
          <w:szCs w:val="24"/>
          <w:lang w:eastAsia="zh-CN"/>
        </w:rPr>
        <w:t>年内在经营活动中没有重大违法记录的书面声明</w:t>
      </w:r>
    </w:p>
    <w:p w14:paraId="0B976A9D">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 xml:space="preserve">十一、中小企业声明函 </w:t>
      </w:r>
    </w:p>
    <w:p w14:paraId="1D80AF04">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十二、监狱企业证明文件</w:t>
      </w:r>
    </w:p>
    <w:p w14:paraId="4C4227DD">
      <w:pPr>
        <w:pStyle w:val="19"/>
        <w:spacing w:line="240" w:lineRule="auto"/>
        <w:rPr>
          <w:rFonts w:ascii="仿宋" w:hAnsi="仿宋" w:eastAsia="仿宋"/>
          <w:b/>
          <w:bCs/>
          <w:spacing w:val="-2"/>
          <w:sz w:val="24"/>
          <w:szCs w:val="24"/>
          <w:lang w:eastAsia="zh-CN"/>
        </w:rPr>
      </w:pPr>
      <w:r>
        <w:rPr>
          <w:rFonts w:hint="eastAsia" w:ascii="仿宋" w:hAnsi="仿宋" w:eastAsia="仿宋"/>
          <w:spacing w:val="-2"/>
          <w:sz w:val="24"/>
          <w:szCs w:val="24"/>
          <w:lang w:eastAsia="zh-CN"/>
        </w:rPr>
        <w:t>十三</w:t>
      </w:r>
      <w:r>
        <w:rPr>
          <w:rFonts w:hint="eastAsia" w:ascii="仿宋" w:hAnsi="仿宋" w:eastAsia="仿宋"/>
          <w:sz w:val="24"/>
          <w:szCs w:val="24"/>
          <w:lang w:eastAsia="zh-CN"/>
        </w:rPr>
        <w:t>、残疾人福利性单位声明函</w:t>
      </w:r>
    </w:p>
    <w:p w14:paraId="4264C6F1">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十四、主要商务要求承诺书</w:t>
      </w:r>
    </w:p>
    <w:p w14:paraId="2B5FFDBD">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十五、技术要求响应</w:t>
      </w:r>
    </w:p>
    <w:p w14:paraId="77E829F5">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十六、项目实施方案、质量保证及售后服务承诺等</w:t>
      </w:r>
    </w:p>
    <w:p w14:paraId="72C7D66E">
      <w:pPr>
        <w:pStyle w:val="19"/>
        <w:spacing w:line="240" w:lineRule="auto"/>
        <w:rPr>
          <w:rFonts w:ascii="仿宋" w:hAnsi="仿宋" w:eastAsia="仿宋"/>
          <w:b/>
          <w:bCs/>
          <w:sz w:val="24"/>
          <w:szCs w:val="24"/>
          <w:lang w:eastAsia="zh-CN"/>
        </w:rPr>
      </w:pPr>
      <w:r>
        <w:rPr>
          <w:rFonts w:hint="eastAsia" w:ascii="仿宋" w:hAnsi="仿宋" w:eastAsia="仿宋"/>
          <w:sz w:val="24"/>
          <w:szCs w:val="24"/>
          <w:lang w:eastAsia="zh-CN"/>
        </w:rPr>
        <w:t>十七、供应商业绩情况表</w:t>
      </w:r>
    </w:p>
    <w:p w14:paraId="49CEA4A0">
      <w:pPr>
        <w:pStyle w:val="19"/>
        <w:spacing w:line="240" w:lineRule="auto"/>
        <w:rPr>
          <w:rFonts w:ascii="仿宋" w:hAnsi="仿宋" w:eastAsia="仿宋"/>
          <w:sz w:val="24"/>
          <w:szCs w:val="24"/>
          <w:lang w:eastAsia="zh-CN"/>
        </w:rPr>
      </w:pPr>
      <w:r>
        <w:rPr>
          <w:rFonts w:hint="eastAsia" w:ascii="仿宋" w:hAnsi="仿宋" w:eastAsia="仿宋"/>
          <w:sz w:val="24"/>
          <w:szCs w:val="24"/>
          <w:lang w:eastAsia="zh-CN"/>
        </w:rPr>
        <w:t>十八、其他证明材料</w:t>
      </w:r>
    </w:p>
    <w:p w14:paraId="5BBC32A6">
      <w:pPr>
        <w:pStyle w:val="19"/>
        <w:rPr>
          <w:lang w:eastAsia="zh-CN"/>
        </w:rPr>
      </w:pPr>
    </w:p>
    <w:p w14:paraId="1CAD32A3">
      <w:pPr>
        <w:pStyle w:val="19"/>
        <w:rPr>
          <w:lang w:eastAsia="zh-CN"/>
        </w:rPr>
      </w:pPr>
    </w:p>
    <w:p w14:paraId="6459FDA8">
      <w:pPr>
        <w:widowControl/>
        <w:autoSpaceDE/>
        <w:autoSpaceDN/>
        <w:rPr>
          <w:rFonts w:ascii="黑体" w:hAnsi="黑体" w:eastAsia="黑体" w:cs="黑体"/>
          <w:b/>
          <w:bCs/>
          <w:sz w:val="24"/>
          <w:szCs w:val="24"/>
          <w:lang w:eastAsia="zh-CN"/>
        </w:rPr>
      </w:pPr>
      <w:r>
        <w:rPr>
          <w:rFonts w:hint="eastAsia" w:ascii="黑体" w:hAnsi="黑体" w:eastAsia="黑体" w:cs="黑体"/>
          <w:sz w:val="24"/>
          <w:szCs w:val="24"/>
          <w:lang w:eastAsia="zh-CN"/>
        </w:rPr>
        <w:br w:type="page"/>
      </w:r>
    </w:p>
    <w:p w14:paraId="6AB68C2F">
      <w:pPr>
        <w:pStyle w:val="22"/>
      </w:pPr>
      <w:r>
        <w:rPr>
          <w:rFonts w:hint="eastAsia"/>
        </w:rPr>
        <w:t>响应文件正文格式：</w:t>
      </w:r>
    </w:p>
    <w:p w14:paraId="3421D701">
      <w:pPr>
        <w:pStyle w:val="7"/>
        <w:spacing w:before="1"/>
        <w:rPr>
          <w:b/>
          <w:sz w:val="22"/>
          <w:lang w:eastAsia="zh-CN"/>
        </w:rPr>
      </w:pPr>
    </w:p>
    <w:p w14:paraId="688AF43E">
      <w:pPr>
        <w:spacing w:line="300" w:lineRule="exact"/>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一、响应承诺书</w:t>
      </w:r>
    </w:p>
    <w:p w14:paraId="18E68CDC">
      <w:pPr>
        <w:pStyle w:val="7"/>
        <w:tabs>
          <w:tab w:val="left" w:pos="3370"/>
        </w:tabs>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致：</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（采购单位名称）</w:t>
      </w:r>
    </w:p>
    <w:p w14:paraId="0D3526DC">
      <w:pPr>
        <w:pStyle w:val="7"/>
        <w:tabs>
          <w:tab w:val="left" w:pos="2410"/>
          <w:tab w:val="left" w:pos="6251"/>
        </w:tabs>
        <w:ind w:firstLine="480" w:firstLineChars="200"/>
        <w:jc w:val="both"/>
        <w:rPr>
          <w:rFonts w:ascii="仿宋" w:hAnsi="仿宋" w:eastAsia="仿宋" w:cs="仿宋_GB2312"/>
          <w:spacing w:val="-18"/>
          <w:sz w:val="24"/>
          <w:szCs w:val="24"/>
          <w:lang w:eastAsia="zh-CN"/>
        </w:rPr>
      </w:pPr>
      <w:r>
        <w:rPr>
          <w:rFonts w:hint="eastAsia" w:ascii="仿宋" w:hAnsi="仿宋" w:eastAsia="仿宋" w:cs="仿宋_GB2312"/>
          <w:sz w:val="24"/>
          <w:szCs w:val="24"/>
          <w:lang w:eastAsia="zh-CN"/>
        </w:rPr>
        <w:t>你方组织的</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（项目名称）的采购，项目编号：</w:t>
      </w:r>
      <w:r>
        <w:rPr>
          <w:rFonts w:hint="eastAsia" w:ascii="仿宋" w:hAnsi="仿宋" w:eastAsia="仿宋" w:cs="仿宋_GB2312"/>
          <w:sz w:val="24"/>
          <w:szCs w:val="24"/>
          <w:u w:val="single"/>
          <w:lang w:eastAsia="zh-CN"/>
        </w:rPr>
        <w:t xml:space="preserve"> </w:t>
      </w:r>
      <w:r>
        <w:rPr>
          <w:rFonts w:hint="eastAsia" w:ascii="仿宋" w:hAnsi="仿宋" w:eastAsia="仿宋" w:cs="仿宋_GB2312"/>
          <w:sz w:val="24"/>
          <w:szCs w:val="24"/>
          <w:u w:val="single"/>
          <w:lang w:eastAsia="zh-CN"/>
        </w:rPr>
        <w:tab/>
      </w:r>
      <w:r>
        <w:rPr>
          <w:rFonts w:hint="eastAsia" w:ascii="仿宋" w:hAnsi="仿宋" w:eastAsia="仿宋" w:cs="仿宋_GB2312"/>
          <w:sz w:val="24"/>
          <w:szCs w:val="24"/>
          <w:lang w:eastAsia="zh-CN"/>
        </w:rPr>
        <w:t>，我方自愿参与，并就有关事项郑重承诺如下</w:t>
      </w:r>
      <w:r>
        <w:rPr>
          <w:rFonts w:hint="eastAsia" w:ascii="仿宋" w:hAnsi="仿宋" w:eastAsia="仿宋" w:cs="仿宋_GB2312"/>
          <w:spacing w:val="-18"/>
          <w:sz w:val="24"/>
          <w:szCs w:val="24"/>
          <w:lang w:eastAsia="zh-CN"/>
        </w:rPr>
        <w:t>：</w:t>
      </w:r>
    </w:p>
    <w:p w14:paraId="73F259BC">
      <w:pPr>
        <w:pStyle w:val="7"/>
        <w:tabs>
          <w:tab w:val="left" w:pos="2410"/>
          <w:tab w:val="left" w:pos="6251"/>
        </w:tabs>
        <w:ind w:firstLine="408" w:firstLineChars="200"/>
        <w:jc w:val="both"/>
        <w:rPr>
          <w:rFonts w:ascii="仿宋" w:hAnsi="仿宋" w:eastAsia="仿宋" w:cs="仿宋_GB2312"/>
          <w:sz w:val="24"/>
          <w:szCs w:val="24"/>
          <w:lang w:eastAsia="zh-CN"/>
        </w:rPr>
      </w:pPr>
      <w:r>
        <w:rPr>
          <w:rFonts w:hint="eastAsia" w:ascii="仿宋" w:hAnsi="仿宋" w:eastAsia="仿宋" w:cs="仿宋_GB2312"/>
          <w:spacing w:val="-18"/>
          <w:sz w:val="24"/>
          <w:szCs w:val="24"/>
          <w:lang w:eastAsia="zh-CN"/>
        </w:rPr>
        <w:t xml:space="preserve"> </w:t>
      </w:r>
      <w:r>
        <w:rPr>
          <w:rFonts w:hint="eastAsia" w:ascii="仿宋" w:hAnsi="仿宋" w:eastAsia="仿宋" w:cs="仿宋_GB2312"/>
          <w:sz w:val="24"/>
          <w:szCs w:val="24"/>
          <w:lang w:eastAsia="zh-CN"/>
        </w:rPr>
        <w:t>一、我方完全理解并接受该项目竞争性谈判通知书的所有要求。</w:t>
      </w:r>
    </w:p>
    <w:p w14:paraId="1B95D980">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二、我方严格遵守《中华人民共和国政府采购法》《中华人民共和国民法典》及相关法律、法规的规定，如有违反，承担相应的法律责任。</w:t>
      </w:r>
    </w:p>
    <w:p w14:paraId="3D7F32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三、我方在报价表中的报价为响应总报价。</w:t>
      </w:r>
    </w:p>
    <w:p w14:paraId="6BEC9E2F">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四、我方同意提供贵方要求的与竞争性谈判有关的任何数据和资料。</w:t>
      </w:r>
    </w:p>
    <w:p w14:paraId="2B762D62">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五、我方将按照竞争性谈判通知书、响应文件等要求，签订并严格执行政府采购合同。</w:t>
      </w:r>
    </w:p>
    <w:p w14:paraId="7EF34ED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六、我方响应报价已包含应向知识产权所有权人支付的所有相关税费，并保证采购人在中国使用我方提供的货物时，如有第三方提出侵犯其知识产权主张的，责任由我方承担。</w:t>
      </w:r>
    </w:p>
    <w:p w14:paraId="309F82E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七、我方承诺未为本项目提供整体设计、规范编制或者项目管理、监理、检测等服务。</w:t>
      </w:r>
    </w:p>
    <w:p w14:paraId="6C0C58BA">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八、我方提供的响应文件内容全部真实有效，如有虚假或隐瞒，我方愿意承担一切法律责任。</w:t>
      </w:r>
    </w:p>
    <w:p w14:paraId="11278848">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九、若我方成交，愿意按有关规定及竞争性谈判通知书要求缴纳代理服务费。若采购人支付代理服务费，则此条不适用。</w:t>
      </w:r>
    </w:p>
    <w:p w14:paraId="58978BD9">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详细地址：</w:t>
      </w:r>
    </w:p>
    <w:p w14:paraId="2AB829E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邮政政编码： </w:t>
      </w:r>
    </w:p>
    <w:p w14:paraId="318BD713">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 话：</w:t>
      </w:r>
    </w:p>
    <w:p w14:paraId="3100CDB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电子邮箱：</w:t>
      </w:r>
    </w:p>
    <w:p w14:paraId="288F68E4">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 xml:space="preserve">供应商开户银行： </w:t>
      </w:r>
    </w:p>
    <w:p w14:paraId="733297D7">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账号/行号：</w:t>
      </w:r>
    </w:p>
    <w:p w14:paraId="0ABB90BC">
      <w:pPr>
        <w:pStyle w:val="7"/>
        <w:ind w:firstLine="480" w:firstLineChars="200"/>
        <w:jc w:val="both"/>
        <w:rPr>
          <w:rFonts w:ascii="仿宋" w:hAnsi="仿宋" w:eastAsia="仿宋" w:cs="仿宋_GB2312"/>
          <w:sz w:val="24"/>
          <w:szCs w:val="24"/>
          <w:lang w:eastAsia="zh-CN"/>
        </w:rPr>
      </w:pPr>
      <w:r>
        <w:rPr>
          <w:rFonts w:hint="eastAsia" w:ascii="仿宋" w:hAnsi="仿宋" w:eastAsia="仿宋" w:cs="仿宋_GB2312"/>
          <w:sz w:val="24"/>
          <w:szCs w:val="24"/>
          <w:lang w:eastAsia="zh-CN"/>
        </w:rPr>
        <w:t>供应商名称（盖章）：</w:t>
      </w:r>
    </w:p>
    <w:p w14:paraId="39E05180">
      <w:pPr>
        <w:pStyle w:val="7"/>
        <w:spacing w:line="300" w:lineRule="exact"/>
        <w:ind w:left="11007" w:leftChars="172" w:hanging="10629" w:hangingChars="4429"/>
        <w:jc w:val="both"/>
        <w:rPr>
          <w:rFonts w:ascii="仿宋" w:hAnsi="仿宋" w:eastAsia="仿宋" w:cs="仿宋_GB2312"/>
          <w:sz w:val="24"/>
          <w:szCs w:val="24"/>
          <w:lang w:eastAsia="zh-CN"/>
        </w:rPr>
      </w:pPr>
    </w:p>
    <w:p w14:paraId="144F6466">
      <w:pPr>
        <w:pStyle w:val="7"/>
        <w:spacing w:before="1" w:line="300" w:lineRule="exact"/>
        <w:jc w:val="both"/>
        <w:rPr>
          <w:rFonts w:ascii="仿宋" w:hAnsi="仿宋" w:eastAsia="仿宋"/>
          <w:sz w:val="24"/>
          <w:szCs w:val="24"/>
          <w:lang w:eastAsia="zh-CN"/>
        </w:rPr>
      </w:pPr>
    </w:p>
    <w:p w14:paraId="54642201">
      <w:pPr>
        <w:pStyle w:val="7"/>
        <w:tabs>
          <w:tab w:val="left" w:pos="432"/>
          <w:tab w:val="left" w:pos="864"/>
        </w:tabs>
        <w:spacing w:before="75" w:line="300" w:lineRule="exact"/>
        <w:ind w:right="79" w:firstLine="4960" w:firstLineChars="2067"/>
        <w:jc w:val="both"/>
        <w:rPr>
          <w:rFonts w:ascii="仿宋" w:hAnsi="仿宋" w:eastAsia="仿宋"/>
          <w:sz w:val="24"/>
          <w:szCs w:val="24"/>
          <w:lang w:eastAsia="zh-CN"/>
        </w:rPr>
      </w:pPr>
      <w:r>
        <w:rPr>
          <w:rFonts w:hint="eastAsia" w:ascii="仿宋" w:hAnsi="仿宋" w:eastAsia="仿宋"/>
          <w:sz w:val="24"/>
          <w:szCs w:val="24"/>
          <w:lang w:eastAsia="zh-CN"/>
        </w:rPr>
        <w:t>年</w:t>
      </w:r>
      <w:r>
        <w:rPr>
          <w:rFonts w:hint="eastAsia" w:ascii="仿宋" w:hAnsi="仿宋" w:eastAsia="仿宋"/>
          <w:sz w:val="24"/>
          <w:szCs w:val="24"/>
          <w:lang w:eastAsia="zh-CN"/>
        </w:rPr>
        <w:tab/>
      </w:r>
      <w:r>
        <w:rPr>
          <w:rFonts w:hint="eastAsia" w:ascii="仿宋" w:hAnsi="仿宋" w:eastAsia="仿宋"/>
          <w:sz w:val="24"/>
          <w:szCs w:val="24"/>
          <w:lang w:eastAsia="zh-CN"/>
        </w:rPr>
        <w:t>月</w:t>
      </w:r>
      <w:r>
        <w:rPr>
          <w:rFonts w:hint="eastAsia" w:ascii="仿宋" w:hAnsi="仿宋" w:eastAsia="仿宋"/>
          <w:sz w:val="24"/>
          <w:szCs w:val="24"/>
          <w:lang w:eastAsia="zh-CN"/>
        </w:rPr>
        <w:tab/>
      </w:r>
      <w:r>
        <w:rPr>
          <w:rFonts w:hint="eastAsia" w:ascii="仿宋" w:hAnsi="仿宋" w:eastAsia="仿宋"/>
          <w:spacing w:val="-1"/>
          <w:sz w:val="24"/>
          <w:szCs w:val="24"/>
          <w:lang w:eastAsia="zh-CN"/>
        </w:rPr>
        <w:t>日</w:t>
      </w:r>
    </w:p>
    <w:p w14:paraId="00CD7A1B">
      <w:pPr>
        <w:spacing w:line="300" w:lineRule="exact"/>
        <w:jc w:val="right"/>
        <w:rPr>
          <w:rFonts w:ascii="仿宋" w:hAnsi="仿宋" w:eastAsia="仿宋"/>
          <w:sz w:val="24"/>
          <w:szCs w:val="24"/>
          <w:lang w:eastAsia="zh-CN"/>
        </w:rPr>
        <w:sectPr>
          <w:pgSz w:w="11900" w:h="16840"/>
          <w:pgMar w:top="1587" w:right="1587" w:bottom="1587" w:left="1587" w:header="0" w:footer="93" w:gutter="0"/>
          <w:cols w:space="720" w:num="1"/>
        </w:sectPr>
      </w:pPr>
    </w:p>
    <w:p w14:paraId="23751D38">
      <w:pPr>
        <w:pStyle w:val="22"/>
      </w:pPr>
      <w:r>
        <w:rPr>
          <w:rFonts w:hint="eastAsia"/>
        </w:rPr>
        <w:t>报价一览表</w:t>
      </w:r>
    </w:p>
    <w:p w14:paraId="47130756">
      <w:pPr>
        <w:pStyle w:val="7"/>
        <w:spacing w:line="300" w:lineRule="exact"/>
        <w:jc w:val="center"/>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二、报价一览表</w:t>
      </w:r>
    </w:p>
    <w:p w14:paraId="5E9A7106">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（总价、单价报价）</w:t>
      </w:r>
    </w:p>
    <w:p w14:paraId="084FF0DD">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项目编号： </w:t>
      </w:r>
    </w:p>
    <w:p w14:paraId="1003ECB1">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项目名称： </w:t>
      </w:r>
    </w:p>
    <w:p w14:paraId="7E3FDAAF">
      <w:pPr>
        <w:pStyle w:val="7"/>
        <w:spacing w:line="300" w:lineRule="exact"/>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w:t>
      </w:r>
    </w:p>
    <w:tbl>
      <w:tblPr>
        <w:tblStyle w:val="11"/>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1C2D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4BFBCD0">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6CE7745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8AE97AC">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59D7605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4D3E047">
            <w:pPr>
              <w:pStyle w:val="18"/>
              <w:spacing w:before="60"/>
              <w:ind w:left="99"/>
              <w:rPr>
                <w:rFonts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1A4DE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5992DB7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0A3ADAE2">
            <w:pPr>
              <w:pStyle w:val="18"/>
              <w:rPr>
                <w:rFonts w:ascii="仿宋_GB2312" w:hAnsi="仿宋_GB2312" w:eastAsia="仿宋_GB2312" w:cs="仿宋_GB2312"/>
                <w:sz w:val="24"/>
                <w:szCs w:val="24"/>
              </w:rPr>
            </w:pPr>
          </w:p>
        </w:tc>
        <w:tc>
          <w:tcPr>
            <w:tcW w:w="1563" w:type="dxa"/>
          </w:tcPr>
          <w:p w14:paraId="159DF557">
            <w:pPr>
              <w:pStyle w:val="18"/>
              <w:rPr>
                <w:rFonts w:ascii="仿宋_GB2312" w:hAnsi="仿宋_GB2312" w:eastAsia="仿宋_GB2312" w:cs="仿宋_GB2312"/>
                <w:sz w:val="24"/>
                <w:szCs w:val="24"/>
              </w:rPr>
            </w:pPr>
          </w:p>
        </w:tc>
        <w:tc>
          <w:tcPr>
            <w:tcW w:w="1637" w:type="dxa"/>
          </w:tcPr>
          <w:p w14:paraId="52C724BF">
            <w:pPr>
              <w:pStyle w:val="18"/>
              <w:rPr>
                <w:rFonts w:ascii="仿宋_GB2312" w:hAnsi="仿宋_GB2312" w:eastAsia="仿宋_GB2312" w:cs="仿宋_GB2312"/>
                <w:sz w:val="24"/>
                <w:szCs w:val="24"/>
              </w:rPr>
            </w:pPr>
          </w:p>
        </w:tc>
        <w:tc>
          <w:tcPr>
            <w:tcW w:w="2086" w:type="dxa"/>
          </w:tcPr>
          <w:p w14:paraId="26F71EF8">
            <w:pPr>
              <w:pStyle w:val="18"/>
              <w:rPr>
                <w:rFonts w:ascii="仿宋_GB2312" w:hAnsi="仿宋_GB2312" w:eastAsia="仿宋_GB2312" w:cs="仿宋_GB2312"/>
                <w:sz w:val="24"/>
                <w:szCs w:val="24"/>
              </w:rPr>
            </w:pPr>
          </w:p>
        </w:tc>
      </w:tr>
      <w:tr w14:paraId="4C5C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E70C6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2E5CCFBE">
            <w:pPr>
              <w:pStyle w:val="18"/>
              <w:rPr>
                <w:rFonts w:ascii="仿宋_GB2312" w:hAnsi="仿宋_GB2312" w:eastAsia="仿宋_GB2312" w:cs="仿宋_GB2312"/>
                <w:sz w:val="24"/>
                <w:szCs w:val="24"/>
              </w:rPr>
            </w:pPr>
          </w:p>
        </w:tc>
        <w:tc>
          <w:tcPr>
            <w:tcW w:w="1563" w:type="dxa"/>
          </w:tcPr>
          <w:p w14:paraId="30E76054">
            <w:pPr>
              <w:pStyle w:val="18"/>
              <w:rPr>
                <w:rFonts w:ascii="仿宋_GB2312" w:hAnsi="仿宋_GB2312" w:eastAsia="仿宋_GB2312" w:cs="仿宋_GB2312"/>
                <w:sz w:val="24"/>
                <w:szCs w:val="24"/>
              </w:rPr>
            </w:pPr>
          </w:p>
        </w:tc>
        <w:tc>
          <w:tcPr>
            <w:tcW w:w="1637" w:type="dxa"/>
          </w:tcPr>
          <w:p w14:paraId="748F07C9">
            <w:pPr>
              <w:pStyle w:val="18"/>
              <w:rPr>
                <w:rFonts w:ascii="仿宋_GB2312" w:hAnsi="仿宋_GB2312" w:eastAsia="仿宋_GB2312" w:cs="仿宋_GB2312"/>
                <w:sz w:val="24"/>
                <w:szCs w:val="24"/>
              </w:rPr>
            </w:pPr>
          </w:p>
        </w:tc>
        <w:tc>
          <w:tcPr>
            <w:tcW w:w="2086" w:type="dxa"/>
          </w:tcPr>
          <w:p w14:paraId="4F23E196">
            <w:pPr>
              <w:pStyle w:val="18"/>
              <w:rPr>
                <w:rFonts w:ascii="仿宋_GB2312" w:hAnsi="仿宋_GB2312" w:eastAsia="仿宋_GB2312" w:cs="仿宋_GB2312"/>
                <w:sz w:val="24"/>
                <w:szCs w:val="24"/>
              </w:rPr>
            </w:pPr>
          </w:p>
        </w:tc>
      </w:tr>
      <w:tr w14:paraId="0387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7C90D5B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5782D73">
            <w:pPr>
              <w:pStyle w:val="18"/>
              <w:rPr>
                <w:rFonts w:ascii="仿宋_GB2312" w:hAnsi="仿宋_GB2312" w:eastAsia="仿宋_GB2312" w:cs="仿宋_GB2312"/>
                <w:sz w:val="24"/>
                <w:szCs w:val="24"/>
              </w:rPr>
            </w:pPr>
          </w:p>
        </w:tc>
        <w:tc>
          <w:tcPr>
            <w:tcW w:w="1563" w:type="dxa"/>
          </w:tcPr>
          <w:p w14:paraId="7EC6F1EF">
            <w:pPr>
              <w:pStyle w:val="18"/>
              <w:rPr>
                <w:rFonts w:ascii="仿宋_GB2312" w:hAnsi="仿宋_GB2312" w:eastAsia="仿宋_GB2312" w:cs="仿宋_GB2312"/>
                <w:sz w:val="24"/>
                <w:szCs w:val="24"/>
              </w:rPr>
            </w:pPr>
          </w:p>
        </w:tc>
        <w:tc>
          <w:tcPr>
            <w:tcW w:w="1637" w:type="dxa"/>
          </w:tcPr>
          <w:p w14:paraId="07B0EE31">
            <w:pPr>
              <w:pStyle w:val="18"/>
              <w:rPr>
                <w:rFonts w:ascii="仿宋_GB2312" w:hAnsi="仿宋_GB2312" w:eastAsia="仿宋_GB2312" w:cs="仿宋_GB2312"/>
                <w:sz w:val="24"/>
                <w:szCs w:val="24"/>
              </w:rPr>
            </w:pPr>
          </w:p>
        </w:tc>
        <w:tc>
          <w:tcPr>
            <w:tcW w:w="2086" w:type="dxa"/>
          </w:tcPr>
          <w:p w14:paraId="29CAEB1C">
            <w:pPr>
              <w:pStyle w:val="18"/>
              <w:rPr>
                <w:rFonts w:ascii="仿宋_GB2312" w:hAnsi="仿宋_GB2312" w:eastAsia="仿宋_GB2312" w:cs="仿宋_GB2312"/>
                <w:sz w:val="24"/>
                <w:szCs w:val="24"/>
              </w:rPr>
            </w:pPr>
          </w:p>
        </w:tc>
      </w:tr>
    </w:tbl>
    <w:p w14:paraId="58CE9607">
      <w:pPr>
        <w:pStyle w:val="7"/>
        <w:spacing w:before="122"/>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B6D801E">
      <w:pPr>
        <w:pStyle w:val="7"/>
        <w:spacing w:before="140"/>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50152E19">
      <w:pPr>
        <w:pStyle w:val="7"/>
        <w:spacing w:before="7"/>
        <w:rPr>
          <w:sz w:val="18"/>
        </w:rPr>
      </w:pPr>
    </w:p>
    <w:p w14:paraId="535933A5">
      <w:pPr>
        <w:pStyle w:val="7"/>
        <w:spacing w:before="140"/>
        <w:ind w:right="2509"/>
        <w:jc w:val="right"/>
      </w:pPr>
    </w:p>
    <w:p w14:paraId="1B4845C8">
      <w:pPr>
        <w:jc w:val="right"/>
        <w:sectPr>
          <w:pgSz w:w="11900" w:h="16840"/>
          <w:pgMar w:top="1587" w:right="1587" w:bottom="1587" w:left="1587" w:header="0" w:footer="93" w:gutter="0"/>
          <w:cols w:space="720" w:num="1"/>
        </w:sectPr>
      </w:pPr>
    </w:p>
    <w:p w14:paraId="7EDA698C">
      <w:pPr>
        <w:pStyle w:val="22"/>
      </w:pPr>
      <w:r>
        <w:rPr>
          <w:rFonts w:hint="eastAsia"/>
        </w:rPr>
        <w:t>分项报价表</w:t>
      </w:r>
    </w:p>
    <w:p w14:paraId="3109D245">
      <w:pPr>
        <w:pStyle w:val="7"/>
        <w:spacing w:before="4" w:line="300" w:lineRule="exact"/>
        <w:rPr>
          <w:rFonts w:ascii="仿宋_GB2312" w:hAnsi="仿宋_GB2312" w:eastAsia="仿宋_GB2312" w:cs="仿宋_GB2312"/>
          <w:sz w:val="24"/>
          <w:szCs w:val="24"/>
        </w:rPr>
      </w:pPr>
    </w:p>
    <w:p w14:paraId="1C2255F6">
      <w:pPr>
        <w:pStyle w:val="7"/>
        <w:spacing w:before="4" w:line="300" w:lineRule="exact"/>
        <w:ind w:left="490" w:right="220"/>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三、分项报价表</w:t>
      </w:r>
    </w:p>
    <w:p w14:paraId="5CB21D49">
      <w:pPr>
        <w:pStyle w:val="7"/>
        <w:spacing w:before="4" w:line="300" w:lineRule="exact"/>
        <w:ind w:left="490" w:right="22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5838A609">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18EA7CDA">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65B678D8">
      <w:pPr>
        <w:pStyle w:val="7"/>
        <w:spacing w:before="4" w:line="300" w:lineRule="exact"/>
        <w:ind w:left="490" w:right="22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73D51C25">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502107F6">
      <w:pPr>
        <w:pStyle w:val="7"/>
        <w:tabs>
          <w:tab w:val="left" w:pos="8688"/>
        </w:tabs>
        <w:spacing w:before="77" w:line="300" w:lineRule="exact"/>
        <w:ind w:left="49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1"/>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001CD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3F3C81D">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37A6887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BB5A7F3">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39DBF84B">
            <w:pPr>
              <w:pStyle w:val="18"/>
              <w:spacing w:before="60" w:line="300" w:lineRule="exact"/>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1EEFFB85">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1E7FD16B">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2799FD53">
            <w:pPr>
              <w:pStyle w:val="18"/>
              <w:spacing w:before="60" w:line="300" w:lineRule="exact"/>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17F40316">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540D6EF2">
            <w:pPr>
              <w:pStyle w:val="18"/>
              <w:spacing w:before="60" w:line="300" w:lineRule="exact"/>
              <w:ind w:left="103"/>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14ED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22FD991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163EF8D7">
            <w:pPr>
              <w:pStyle w:val="18"/>
              <w:spacing w:line="300" w:lineRule="exact"/>
              <w:rPr>
                <w:rFonts w:ascii="仿宋_GB2312" w:hAnsi="仿宋_GB2312" w:eastAsia="仿宋_GB2312" w:cs="仿宋_GB2312"/>
                <w:sz w:val="24"/>
                <w:szCs w:val="24"/>
              </w:rPr>
            </w:pPr>
          </w:p>
        </w:tc>
        <w:tc>
          <w:tcPr>
            <w:tcW w:w="1380" w:type="dxa"/>
          </w:tcPr>
          <w:p w14:paraId="1FC8FD93">
            <w:pPr>
              <w:pStyle w:val="18"/>
              <w:spacing w:line="300" w:lineRule="exact"/>
              <w:rPr>
                <w:rFonts w:ascii="仿宋_GB2312" w:hAnsi="仿宋_GB2312" w:eastAsia="仿宋_GB2312" w:cs="仿宋_GB2312"/>
                <w:sz w:val="24"/>
                <w:szCs w:val="24"/>
              </w:rPr>
            </w:pPr>
          </w:p>
        </w:tc>
        <w:tc>
          <w:tcPr>
            <w:tcW w:w="828" w:type="dxa"/>
          </w:tcPr>
          <w:p w14:paraId="025A8856">
            <w:pPr>
              <w:pStyle w:val="18"/>
              <w:spacing w:line="300" w:lineRule="exact"/>
              <w:rPr>
                <w:rFonts w:ascii="仿宋_GB2312" w:hAnsi="仿宋_GB2312" w:eastAsia="仿宋_GB2312" w:cs="仿宋_GB2312"/>
                <w:sz w:val="24"/>
                <w:szCs w:val="24"/>
              </w:rPr>
            </w:pPr>
          </w:p>
        </w:tc>
        <w:tc>
          <w:tcPr>
            <w:tcW w:w="840" w:type="dxa"/>
          </w:tcPr>
          <w:p w14:paraId="799B2F0E">
            <w:pPr>
              <w:pStyle w:val="18"/>
              <w:spacing w:line="300" w:lineRule="exact"/>
              <w:rPr>
                <w:rFonts w:ascii="仿宋_GB2312" w:hAnsi="仿宋_GB2312" w:eastAsia="仿宋_GB2312" w:cs="仿宋_GB2312"/>
                <w:sz w:val="24"/>
                <w:szCs w:val="24"/>
              </w:rPr>
            </w:pPr>
          </w:p>
        </w:tc>
        <w:tc>
          <w:tcPr>
            <w:tcW w:w="1568" w:type="dxa"/>
          </w:tcPr>
          <w:p w14:paraId="0BC62937">
            <w:pPr>
              <w:pStyle w:val="18"/>
              <w:spacing w:line="300" w:lineRule="exact"/>
              <w:rPr>
                <w:rFonts w:ascii="仿宋_GB2312" w:hAnsi="仿宋_GB2312" w:eastAsia="仿宋_GB2312" w:cs="仿宋_GB2312"/>
                <w:sz w:val="24"/>
                <w:szCs w:val="24"/>
              </w:rPr>
            </w:pPr>
          </w:p>
        </w:tc>
        <w:tc>
          <w:tcPr>
            <w:tcW w:w="654" w:type="dxa"/>
          </w:tcPr>
          <w:p w14:paraId="19A6DAEE">
            <w:pPr>
              <w:pStyle w:val="18"/>
              <w:spacing w:line="300" w:lineRule="exact"/>
              <w:rPr>
                <w:rFonts w:ascii="仿宋_GB2312" w:hAnsi="仿宋_GB2312" w:eastAsia="仿宋_GB2312" w:cs="仿宋_GB2312"/>
                <w:sz w:val="24"/>
                <w:szCs w:val="24"/>
              </w:rPr>
            </w:pPr>
          </w:p>
        </w:tc>
        <w:tc>
          <w:tcPr>
            <w:tcW w:w="696" w:type="dxa"/>
          </w:tcPr>
          <w:p w14:paraId="48D7B6A1">
            <w:pPr>
              <w:pStyle w:val="18"/>
              <w:spacing w:line="300" w:lineRule="exact"/>
              <w:rPr>
                <w:rFonts w:ascii="仿宋_GB2312" w:hAnsi="仿宋_GB2312" w:eastAsia="仿宋_GB2312" w:cs="仿宋_GB2312"/>
                <w:sz w:val="24"/>
                <w:szCs w:val="24"/>
              </w:rPr>
            </w:pPr>
          </w:p>
        </w:tc>
        <w:tc>
          <w:tcPr>
            <w:tcW w:w="804" w:type="dxa"/>
          </w:tcPr>
          <w:p w14:paraId="11AD193D">
            <w:pPr>
              <w:pStyle w:val="18"/>
              <w:spacing w:line="300" w:lineRule="exact"/>
              <w:rPr>
                <w:rFonts w:ascii="仿宋_GB2312" w:hAnsi="仿宋_GB2312" w:eastAsia="仿宋_GB2312" w:cs="仿宋_GB2312"/>
                <w:sz w:val="24"/>
                <w:szCs w:val="24"/>
              </w:rPr>
            </w:pPr>
          </w:p>
        </w:tc>
      </w:tr>
      <w:tr w14:paraId="74070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3A7192CA">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0630414">
            <w:pPr>
              <w:pStyle w:val="18"/>
              <w:spacing w:line="300" w:lineRule="exact"/>
              <w:rPr>
                <w:rFonts w:ascii="仿宋_GB2312" w:hAnsi="仿宋_GB2312" w:eastAsia="仿宋_GB2312" w:cs="仿宋_GB2312"/>
                <w:sz w:val="24"/>
                <w:szCs w:val="24"/>
              </w:rPr>
            </w:pPr>
          </w:p>
        </w:tc>
        <w:tc>
          <w:tcPr>
            <w:tcW w:w="1380" w:type="dxa"/>
          </w:tcPr>
          <w:p w14:paraId="03059A28">
            <w:pPr>
              <w:pStyle w:val="18"/>
              <w:spacing w:line="300" w:lineRule="exact"/>
              <w:rPr>
                <w:rFonts w:ascii="仿宋_GB2312" w:hAnsi="仿宋_GB2312" w:eastAsia="仿宋_GB2312" w:cs="仿宋_GB2312"/>
                <w:sz w:val="24"/>
                <w:szCs w:val="24"/>
              </w:rPr>
            </w:pPr>
          </w:p>
        </w:tc>
        <w:tc>
          <w:tcPr>
            <w:tcW w:w="828" w:type="dxa"/>
          </w:tcPr>
          <w:p w14:paraId="0B620E00">
            <w:pPr>
              <w:pStyle w:val="18"/>
              <w:spacing w:line="300" w:lineRule="exact"/>
              <w:rPr>
                <w:rFonts w:ascii="仿宋_GB2312" w:hAnsi="仿宋_GB2312" w:eastAsia="仿宋_GB2312" w:cs="仿宋_GB2312"/>
                <w:sz w:val="24"/>
                <w:szCs w:val="24"/>
              </w:rPr>
            </w:pPr>
          </w:p>
        </w:tc>
        <w:tc>
          <w:tcPr>
            <w:tcW w:w="840" w:type="dxa"/>
          </w:tcPr>
          <w:p w14:paraId="72982192">
            <w:pPr>
              <w:pStyle w:val="18"/>
              <w:spacing w:line="300" w:lineRule="exact"/>
              <w:rPr>
                <w:rFonts w:ascii="仿宋_GB2312" w:hAnsi="仿宋_GB2312" w:eastAsia="仿宋_GB2312" w:cs="仿宋_GB2312"/>
                <w:sz w:val="24"/>
                <w:szCs w:val="24"/>
              </w:rPr>
            </w:pPr>
          </w:p>
        </w:tc>
        <w:tc>
          <w:tcPr>
            <w:tcW w:w="1568" w:type="dxa"/>
          </w:tcPr>
          <w:p w14:paraId="641E01B0">
            <w:pPr>
              <w:pStyle w:val="18"/>
              <w:spacing w:line="300" w:lineRule="exact"/>
              <w:rPr>
                <w:rFonts w:ascii="仿宋_GB2312" w:hAnsi="仿宋_GB2312" w:eastAsia="仿宋_GB2312" w:cs="仿宋_GB2312"/>
                <w:sz w:val="24"/>
                <w:szCs w:val="24"/>
              </w:rPr>
            </w:pPr>
          </w:p>
        </w:tc>
        <w:tc>
          <w:tcPr>
            <w:tcW w:w="654" w:type="dxa"/>
          </w:tcPr>
          <w:p w14:paraId="6BD4D133">
            <w:pPr>
              <w:pStyle w:val="18"/>
              <w:spacing w:line="300" w:lineRule="exact"/>
              <w:rPr>
                <w:rFonts w:ascii="仿宋_GB2312" w:hAnsi="仿宋_GB2312" w:eastAsia="仿宋_GB2312" w:cs="仿宋_GB2312"/>
                <w:sz w:val="24"/>
                <w:szCs w:val="24"/>
              </w:rPr>
            </w:pPr>
          </w:p>
        </w:tc>
        <w:tc>
          <w:tcPr>
            <w:tcW w:w="696" w:type="dxa"/>
          </w:tcPr>
          <w:p w14:paraId="469F9519">
            <w:pPr>
              <w:pStyle w:val="18"/>
              <w:spacing w:line="300" w:lineRule="exact"/>
              <w:rPr>
                <w:rFonts w:ascii="仿宋_GB2312" w:hAnsi="仿宋_GB2312" w:eastAsia="仿宋_GB2312" w:cs="仿宋_GB2312"/>
                <w:sz w:val="24"/>
                <w:szCs w:val="24"/>
              </w:rPr>
            </w:pPr>
          </w:p>
        </w:tc>
        <w:tc>
          <w:tcPr>
            <w:tcW w:w="804" w:type="dxa"/>
          </w:tcPr>
          <w:p w14:paraId="7D71D432">
            <w:pPr>
              <w:pStyle w:val="18"/>
              <w:spacing w:line="300" w:lineRule="exact"/>
              <w:rPr>
                <w:rFonts w:ascii="仿宋_GB2312" w:hAnsi="仿宋_GB2312" w:eastAsia="仿宋_GB2312" w:cs="仿宋_GB2312"/>
                <w:sz w:val="24"/>
                <w:szCs w:val="24"/>
              </w:rPr>
            </w:pPr>
          </w:p>
        </w:tc>
      </w:tr>
      <w:tr w14:paraId="65DA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5E3EE128">
            <w:pPr>
              <w:pStyle w:val="18"/>
              <w:spacing w:before="60" w:line="300" w:lineRule="exact"/>
              <w:ind w:left="100"/>
              <w:rPr>
                <w:rFonts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75D56810">
            <w:pPr>
              <w:pStyle w:val="18"/>
              <w:spacing w:line="300" w:lineRule="exact"/>
              <w:rPr>
                <w:rFonts w:ascii="仿宋_GB2312" w:hAnsi="仿宋_GB2312" w:eastAsia="仿宋_GB2312" w:cs="仿宋_GB2312"/>
                <w:sz w:val="24"/>
                <w:szCs w:val="24"/>
              </w:rPr>
            </w:pPr>
          </w:p>
        </w:tc>
        <w:tc>
          <w:tcPr>
            <w:tcW w:w="1380" w:type="dxa"/>
          </w:tcPr>
          <w:p w14:paraId="66477B4D">
            <w:pPr>
              <w:pStyle w:val="18"/>
              <w:spacing w:line="300" w:lineRule="exact"/>
              <w:rPr>
                <w:rFonts w:ascii="仿宋_GB2312" w:hAnsi="仿宋_GB2312" w:eastAsia="仿宋_GB2312" w:cs="仿宋_GB2312"/>
                <w:sz w:val="24"/>
                <w:szCs w:val="24"/>
              </w:rPr>
            </w:pPr>
          </w:p>
        </w:tc>
        <w:tc>
          <w:tcPr>
            <w:tcW w:w="828" w:type="dxa"/>
          </w:tcPr>
          <w:p w14:paraId="5158C50E">
            <w:pPr>
              <w:pStyle w:val="18"/>
              <w:spacing w:line="300" w:lineRule="exact"/>
              <w:rPr>
                <w:rFonts w:ascii="仿宋_GB2312" w:hAnsi="仿宋_GB2312" w:eastAsia="仿宋_GB2312" w:cs="仿宋_GB2312"/>
                <w:sz w:val="24"/>
                <w:szCs w:val="24"/>
              </w:rPr>
            </w:pPr>
          </w:p>
        </w:tc>
        <w:tc>
          <w:tcPr>
            <w:tcW w:w="840" w:type="dxa"/>
          </w:tcPr>
          <w:p w14:paraId="0269D024">
            <w:pPr>
              <w:pStyle w:val="18"/>
              <w:spacing w:line="300" w:lineRule="exact"/>
              <w:rPr>
                <w:rFonts w:ascii="仿宋_GB2312" w:hAnsi="仿宋_GB2312" w:eastAsia="仿宋_GB2312" w:cs="仿宋_GB2312"/>
                <w:sz w:val="24"/>
                <w:szCs w:val="24"/>
              </w:rPr>
            </w:pPr>
          </w:p>
        </w:tc>
        <w:tc>
          <w:tcPr>
            <w:tcW w:w="1568" w:type="dxa"/>
          </w:tcPr>
          <w:p w14:paraId="358DAFEF">
            <w:pPr>
              <w:pStyle w:val="18"/>
              <w:spacing w:line="300" w:lineRule="exact"/>
              <w:rPr>
                <w:rFonts w:ascii="仿宋_GB2312" w:hAnsi="仿宋_GB2312" w:eastAsia="仿宋_GB2312" w:cs="仿宋_GB2312"/>
                <w:sz w:val="24"/>
                <w:szCs w:val="24"/>
              </w:rPr>
            </w:pPr>
          </w:p>
        </w:tc>
        <w:tc>
          <w:tcPr>
            <w:tcW w:w="654" w:type="dxa"/>
          </w:tcPr>
          <w:p w14:paraId="567386B4">
            <w:pPr>
              <w:pStyle w:val="18"/>
              <w:spacing w:line="300" w:lineRule="exact"/>
              <w:rPr>
                <w:rFonts w:ascii="仿宋_GB2312" w:hAnsi="仿宋_GB2312" w:eastAsia="仿宋_GB2312" w:cs="仿宋_GB2312"/>
                <w:sz w:val="24"/>
                <w:szCs w:val="24"/>
              </w:rPr>
            </w:pPr>
          </w:p>
        </w:tc>
        <w:tc>
          <w:tcPr>
            <w:tcW w:w="696" w:type="dxa"/>
          </w:tcPr>
          <w:p w14:paraId="7D0AE1B9">
            <w:pPr>
              <w:pStyle w:val="18"/>
              <w:spacing w:line="300" w:lineRule="exact"/>
              <w:rPr>
                <w:rFonts w:ascii="仿宋_GB2312" w:hAnsi="仿宋_GB2312" w:eastAsia="仿宋_GB2312" w:cs="仿宋_GB2312"/>
                <w:sz w:val="24"/>
                <w:szCs w:val="24"/>
              </w:rPr>
            </w:pPr>
          </w:p>
        </w:tc>
        <w:tc>
          <w:tcPr>
            <w:tcW w:w="804" w:type="dxa"/>
          </w:tcPr>
          <w:p w14:paraId="0F48DAF3">
            <w:pPr>
              <w:pStyle w:val="18"/>
              <w:spacing w:line="300" w:lineRule="exact"/>
              <w:rPr>
                <w:rFonts w:ascii="仿宋_GB2312" w:hAnsi="仿宋_GB2312" w:eastAsia="仿宋_GB2312" w:cs="仿宋_GB2312"/>
                <w:sz w:val="24"/>
                <w:szCs w:val="24"/>
              </w:rPr>
            </w:pPr>
          </w:p>
        </w:tc>
      </w:tr>
    </w:tbl>
    <w:p w14:paraId="787047E1">
      <w:pPr>
        <w:pStyle w:val="7"/>
        <w:spacing w:before="12" w:line="300" w:lineRule="exact"/>
        <w:rPr>
          <w:rFonts w:ascii="仿宋_GB2312" w:hAnsi="仿宋_GB2312" w:eastAsia="仿宋_GB2312" w:cs="仿宋_GB2312"/>
          <w:sz w:val="24"/>
          <w:szCs w:val="24"/>
        </w:rPr>
      </w:pPr>
    </w:p>
    <w:p w14:paraId="79384CA5">
      <w:pPr>
        <w:pStyle w:val="7"/>
        <w:spacing w:before="122"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13C9A758">
      <w:pPr>
        <w:pStyle w:val="7"/>
        <w:spacing w:before="140" w:line="300" w:lineRule="exact"/>
        <w:ind w:right="2509"/>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0BED24F7">
      <w:pPr>
        <w:pStyle w:val="7"/>
        <w:spacing w:before="7"/>
        <w:rPr>
          <w:rFonts w:ascii="仿宋_GB2312" w:hAnsi="仿宋_GB2312" w:eastAsia="仿宋_GB2312" w:cs="仿宋_GB2312"/>
          <w:sz w:val="24"/>
          <w:szCs w:val="24"/>
        </w:rPr>
      </w:pPr>
    </w:p>
    <w:p w14:paraId="24233F0F">
      <w:pPr>
        <w:pStyle w:val="7"/>
        <w:spacing w:before="140"/>
        <w:ind w:right="2509"/>
        <w:jc w:val="right"/>
      </w:pPr>
    </w:p>
    <w:p w14:paraId="504A04CF">
      <w:pPr>
        <w:jc w:val="right"/>
        <w:sectPr>
          <w:pgSz w:w="11900" w:h="16840"/>
          <w:pgMar w:top="1587" w:right="1587" w:bottom="1587" w:left="1587" w:header="0" w:footer="93" w:gutter="0"/>
          <w:cols w:space="720" w:num="1"/>
        </w:sectPr>
      </w:pPr>
    </w:p>
    <w:p w14:paraId="476C242F">
      <w:pPr>
        <w:pStyle w:val="22"/>
      </w:pPr>
      <w:r>
        <w:rPr>
          <w:rFonts w:hint="eastAsia"/>
        </w:rPr>
        <w:t>（以下格式文件由供应商根据需要选用）</w:t>
      </w:r>
    </w:p>
    <w:p w14:paraId="6F5F656D">
      <w:pPr>
        <w:pStyle w:val="22"/>
      </w:pPr>
    </w:p>
    <w:p w14:paraId="3288EF90">
      <w:pPr>
        <w:spacing w:line="360" w:lineRule="auto"/>
        <w:ind w:left="187" w:right="215"/>
        <w:jc w:val="center"/>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四、授权委托书</w:t>
      </w:r>
    </w:p>
    <w:p w14:paraId="6CDF4B5C">
      <w:pPr>
        <w:pStyle w:val="7"/>
        <w:tabs>
          <w:tab w:val="left" w:pos="2506"/>
          <w:tab w:val="left" w:pos="5099"/>
          <w:tab w:val="left" w:pos="9996"/>
        </w:tabs>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（姓名）系</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（供应商名称）的法定代表人，现委托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（姓名）为我方代理人，参加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（项目名称）的采购，项目编号：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。代理人根据授权，以我</w:t>
      </w:r>
      <w:r>
        <w:rPr>
          <w:rFonts w:hint="eastAsia" w:ascii="仿宋_GB2312" w:hAnsi="仿宋_GB2312" w:eastAsia="仿宋_GB2312" w:cs="仿宋_GB2312"/>
          <w:spacing w:val="-18"/>
          <w:sz w:val="24"/>
          <w:szCs w:val="24"/>
          <w:lang w:eastAsia="zh-CN"/>
        </w:rPr>
        <w:t>方</w:t>
      </w:r>
      <w:r>
        <w:rPr>
          <w:rFonts w:hint="eastAsia" w:ascii="仿宋_GB2312" w:hAnsi="仿宋_GB2312" w:eastAsia="仿宋_GB2312" w:cs="仿宋_GB2312"/>
          <w:sz w:val="24"/>
          <w:szCs w:val="24"/>
          <w:lang w:eastAsia="zh-CN"/>
        </w:rPr>
        <w:t>名义签署、澄清确认、递交、撤回、修改竞争性谈判项目响应文件、签订合同和处理有关事宜，其法律后果由我方承担。委托期限</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lang w:eastAsia="zh-CN"/>
        </w:rPr>
        <w:t>。代理人无转委托权。</w:t>
      </w:r>
    </w:p>
    <w:p w14:paraId="2941C9F1">
      <w:pPr>
        <w:rPr>
          <w:lang w:eastAsia="zh-CN"/>
        </w:rPr>
      </w:pPr>
    </w:p>
    <w:p w14:paraId="108BE2A8">
      <w:pPr>
        <w:pStyle w:val="7"/>
        <w:tabs>
          <w:tab w:val="left" w:pos="3080"/>
          <w:tab w:val="left" w:pos="3823"/>
          <w:tab w:val="left" w:pos="3992"/>
        </w:tabs>
        <w:spacing w:line="360" w:lineRule="auto"/>
        <w:ind w:firstLine="200"/>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供</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 xml:space="preserve">应 </w:t>
      </w:r>
      <w:r>
        <w:rPr>
          <w:rFonts w:hint="eastAsia" w:ascii="仿宋_GB2312" w:hAnsi="仿宋_GB2312" w:eastAsia="仿宋_GB2312" w:cs="仿宋_GB2312"/>
          <w:spacing w:val="-27"/>
          <w:sz w:val="24"/>
          <w:szCs w:val="24"/>
          <w:lang w:eastAsia="zh-CN"/>
        </w:rPr>
        <w:t xml:space="preserve"> </w:t>
      </w:r>
      <w:r>
        <w:rPr>
          <w:rFonts w:hint="eastAsia" w:ascii="仿宋_GB2312" w:hAnsi="仿宋_GB2312" w:eastAsia="仿宋_GB2312" w:cs="仿宋_GB2312"/>
          <w:sz w:val="24"/>
          <w:szCs w:val="24"/>
          <w:lang w:eastAsia="zh-CN"/>
        </w:rPr>
        <w:t>商（盖章）：</w:t>
      </w: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u w:val="single"/>
          <w:lang w:eastAsia="zh-CN"/>
        </w:rPr>
        <w:t xml:space="preserve">                </w:t>
      </w:r>
    </w:p>
    <w:p w14:paraId="1BDD3764">
      <w:pPr>
        <w:pStyle w:val="7"/>
        <w:tabs>
          <w:tab w:val="left" w:pos="3080"/>
          <w:tab w:val="left" w:pos="3823"/>
          <w:tab w:val="left" w:pos="3992"/>
        </w:tabs>
        <w:spacing w:line="360" w:lineRule="auto"/>
        <w:ind w:left="1187" w:leftChars="100" w:hanging="967" w:hangingChars="403"/>
        <w:jc w:val="both"/>
        <w:rPr>
          <w:rFonts w:ascii="仿宋_GB2312" w:hAnsi="仿宋_GB2312" w:eastAsia="仿宋_GB2312" w:cs="仿宋_GB2312"/>
          <w:sz w:val="24"/>
          <w:szCs w:val="24"/>
          <w:u w:val="single"/>
          <w:lang w:eastAsia="zh-CN"/>
        </w:rPr>
      </w:pPr>
      <w:r>
        <w:rPr>
          <w:rFonts w:hint="eastAsia" w:ascii="仿宋_GB2312" w:hAnsi="仿宋_GB2312" w:eastAsia="仿宋_GB2312" w:cs="仿宋_GB2312"/>
          <w:sz w:val="24"/>
          <w:szCs w:val="24"/>
          <w:lang w:eastAsia="zh-CN"/>
        </w:rPr>
        <w:t>法定代表人（签字）：</w:t>
      </w:r>
      <w:r>
        <w:rPr>
          <w:rFonts w:hint="eastAsia" w:ascii="仿宋_GB2312" w:hAnsi="仿宋_GB2312" w:eastAsia="仿宋_GB2312" w:cs="仿宋_GB2312"/>
          <w:sz w:val="24"/>
          <w:szCs w:val="24"/>
          <w:u w:val="single"/>
          <w:lang w:eastAsia="zh-CN"/>
        </w:rPr>
        <w:t xml:space="preserve">                   </w:t>
      </w:r>
    </w:p>
    <w:p w14:paraId="66E2BE35">
      <w:pPr>
        <w:pStyle w:val="7"/>
        <w:tabs>
          <w:tab w:val="left" w:pos="4088"/>
        </w:tabs>
        <w:spacing w:line="360" w:lineRule="auto"/>
        <w:ind w:firstLine="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授权委托人（签字）：</w:t>
      </w:r>
      <w:r>
        <w:rPr>
          <w:rFonts w:hint="eastAsia" w:ascii="仿宋_GB2312" w:hAnsi="仿宋_GB2312" w:eastAsia="仿宋_GB2312" w:cs="仿宋_GB2312"/>
          <w:sz w:val="24"/>
          <w:szCs w:val="24"/>
          <w:u w:val="single"/>
          <w:lang w:eastAsia="zh-CN"/>
        </w:rPr>
        <w:t xml:space="preserve">                   </w:t>
      </w:r>
    </w:p>
    <w:p w14:paraId="2F7E6A29">
      <w:pPr>
        <w:pStyle w:val="7"/>
        <w:spacing w:before="9" w:line="300" w:lineRule="exact"/>
        <w:rPr>
          <w:rFonts w:ascii="仿宋_GB2312" w:hAnsi="仿宋_GB2312" w:eastAsia="仿宋_GB2312" w:cs="仿宋_GB2312"/>
          <w:sz w:val="24"/>
          <w:szCs w:val="24"/>
          <w:lang w:eastAsia="zh-CN"/>
        </w:rPr>
      </w:pPr>
    </w:p>
    <w:tbl>
      <w:tblPr>
        <w:tblStyle w:val="11"/>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4F7B0490">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066AFF2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法定代表人身份证扫描件正面</w:t>
            </w:r>
          </w:p>
        </w:tc>
        <w:tc>
          <w:tcPr>
            <w:tcW w:w="4018" w:type="dxa"/>
            <w:tcBorders>
              <w:left w:val="single" w:color="7F7F7F" w:sz="12" w:space="0"/>
              <w:bottom w:val="single" w:color="7F7F7F" w:sz="12" w:space="0"/>
            </w:tcBorders>
          </w:tcPr>
          <w:p w14:paraId="504DB359">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法定代表人身份证扫描件反面</w:t>
            </w:r>
          </w:p>
        </w:tc>
      </w:tr>
      <w:tr w14:paraId="053F4F11">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4ADA2D00">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授权委托人身份证扫描件正面</w:t>
            </w:r>
          </w:p>
        </w:tc>
        <w:tc>
          <w:tcPr>
            <w:tcW w:w="4018" w:type="dxa"/>
            <w:tcBorders>
              <w:top w:val="single" w:color="7F7F7F" w:sz="12" w:space="0"/>
              <w:left w:val="single" w:color="7F7F7F" w:sz="12" w:space="0"/>
            </w:tcBorders>
          </w:tcPr>
          <w:p w14:paraId="2DD2AD48">
            <w:pPr>
              <w:pStyle w:val="18"/>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授权委托人身份证扫描件反面</w:t>
            </w:r>
          </w:p>
        </w:tc>
      </w:tr>
    </w:tbl>
    <w:p w14:paraId="2F7B2A74">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2F20FEE5">
      <w:pPr>
        <w:pStyle w:val="7"/>
        <w:tabs>
          <w:tab w:val="left" w:pos="960"/>
          <w:tab w:val="left" w:pos="1728"/>
          <w:tab w:val="left" w:pos="2496"/>
        </w:tabs>
        <w:spacing w:before="63" w:line="300" w:lineRule="exact"/>
        <w:ind w:right="109"/>
        <w:jc w:val="right"/>
        <w:rPr>
          <w:rFonts w:ascii="仿宋_GB2312" w:hAnsi="仿宋_GB2312" w:eastAsia="仿宋_GB2312" w:cs="仿宋_GB2312"/>
          <w:w w:val="101"/>
          <w:sz w:val="24"/>
          <w:szCs w:val="24"/>
          <w:u w:val="single"/>
          <w:lang w:eastAsia="zh-CN"/>
        </w:rPr>
      </w:pPr>
    </w:p>
    <w:p w14:paraId="508F3645">
      <w:pPr>
        <w:pStyle w:val="7"/>
        <w:tabs>
          <w:tab w:val="left" w:pos="960"/>
          <w:tab w:val="left" w:pos="1728"/>
          <w:tab w:val="left" w:pos="2496"/>
        </w:tabs>
        <w:spacing w:before="63" w:line="300" w:lineRule="exact"/>
        <w:ind w:right="109"/>
        <w:jc w:val="right"/>
        <w:rPr>
          <w:rFonts w:ascii="仿宋_GB2312" w:hAnsi="仿宋_GB2312" w:eastAsia="仿宋_GB2312" w:cs="仿宋_GB2312"/>
          <w:sz w:val="24"/>
          <w:szCs w:val="24"/>
          <w:lang w:eastAsia="zh-CN"/>
        </w:rPr>
      </w:pPr>
      <w:r>
        <w:rPr>
          <w:rFonts w:hint="eastAsia" w:ascii="仿宋_GB2312" w:hAnsi="仿宋_GB2312" w:eastAsia="仿宋_GB2312" w:cs="仿宋_GB2312"/>
          <w:w w:val="101"/>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日</w:t>
      </w:r>
    </w:p>
    <w:p w14:paraId="316CAAFC">
      <w:pPr>
        <w:jc w:val="right"/>
        <w:rPr>
          <w:lang w:eastAsia="zh-CN"/>
        </w:rPr>
        <w:sectPr>
          <w:pgSz w:w="11900" w:h="16840"/>
          <w:pgMar w:top="1587" w:right="1587" w:bottom="1587" w:left="1587" w:header="0" w:footer="93" w:gutter="0"/>
          <w:cols w:space="720" w:num="1"/>
        </w:sectPr>
      </w:pPr>
    </w:p>
    <w:p w14:paraId="5F2E24C0">
      <w:pPr>
        <w:pStyle w:val="22"/>
      </w:pPr>
      <w:r>
        <w:rPr>
          <w:rFonts w:hint="eastAsia"/>
        </w:rPr>
        <w:t>（以下格式文件由供应商根据需要选用）</w:t>
      </w:r>
    </w:p>
    <w:p w14:paraId="6BE626A6">
      <w:pPr>
        <w:pStyle w:val="7"/>
        <w:tabs>
          <w:tab w:val="left" w:pos="7230"/>
        </w:tabs>
        <w:spacing w:before="1"/>
        <w:rPr>
          <w:rFonts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375F2378">
      <w:pPr>
        <w:jc w:val="center"/>
        <w:rPr>
          <w:rFonts w:ascii="仿宋" w:hAnsi="仿宋" w:eastAsia="仿宋"/>
          <w:b/>
          <w:bCs/>
          <w:sz w:val="28"/>
          <w:szCs w:val="28"/>
          <w:lang w:eastAsia="zh-CN"/>
        </w:rPr>
      </w:pPr>
      <w:r>
        <w:rPr>
          <w:rFonts w:hint="eastAsia" w:ascii="仿宋" w:hAnsi="仿宋" w:eastAsia="仿宋"/>
          <w:b/>
          <w:bCs/>
          <w:sz w:val="28"/>
          <w:szCs w:val="28"/>
          <w:lang w:eastAsia="zh-CN"/>
        </w:rPr>
        <w:t>五</w:t>
      </w:r>
      <w:r>
        <w:rPr>
          <w:rFonts w:hint="eastAsia" w:ascii="仿宋" w:hAnsi="仿宋" w:eastAsia="仿宋"/>
          <w:b/>
          <w:bCs/>
          <w:sz w:val="28"/>
          <w:szCs w:val="28"/>
        </w:rPr>
        <w:t>、供应商基本情况表</w:t>
      </w:r>
    </w:p>
    <w:tbl>
      <w:tblPr>
        <w:tblStyle w:val="11"/>
        <w:tblpPr w:leftFromText="180" w:rightFromText="180" w:vertAnchor="text" w:horzAnchor="margin" w:tblpY="225"/>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A59D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0335ACE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vAlign w:val="center"/>
          </w:tcPr>
          <w:p w14:paraId="2FBDC66A">
            <w:pPr>
              <w:pStyle w:val="18"/>
              <w:rPr>
                <w:rFonts w:ascii="仿宋_GB2312" w:hAnsi="仿宋_GB2312" w:eastAsia="仿宋_GB2312" w:cs="仿宋_GB2312"/>
                <w:sz w:val="24"/>
                <w:szCs w:val="24"/>
              </w:rPr>
            </w:pPr>
          </w:p>
        </w:tc>
        <w:tc>
          <w:tcPr>
            <w:tcW w:w="1404" w:type="dxa"/>
            <w:vAlign w:val="center"/>
          </w:tcPr>
          <w:p w14:paraId="19FC6300">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vAlign w:val="center"/>
          </w:tcPr>
          <w:p w14:paraId="62C27143">
            <w:pPr>
              <w:pStyle w:val="18"/>
              <w:rPr>
                <w:rFonts w:ascii="仿宋_GB2312" w:hAnsi="仿宋_GB2312" w:eastAsia="仿宋_GB2312" w:cs="仿宋_GB2312"/>
                <w:sz w:val="24"/>
                <w:szCs w:val="24"/>
              </w:rPr>
            </w:pPr>
          </w:p>
        </w:tc>
      </w:tr>
      <w:tr w14:paraId="786D8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217BB">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vAlign w:val="center"/>
          </w:tcPr>
          <w:p w14:paraId="60C57522">
            <w:pPr>
              <w:pStyle w:val="18"/>
              <w:rPr>
                <w:rFonts w:ascii="仿宋_GB2312" w:hAnsi="仿宋_GB2312" w:eastAsia="仿宋_GB2312" w:cs="仿宋_GB2312"/>
                <w:sz w:val="24"/>
                <w:szCs w:val="24"/>
              </w:rPr>
            </w:pPr>
          </w:p>
        </w:tc>
        <w:tc>
          <w:tcPr>
            <w:tcW w:w="1404" w:type="dxa"/>
            <w:vAlign w:val="center"/>
          </w:tcPr>
          <w:p w14:paraId="085D6FE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vAlign w:val="center"/>
          </w:tcPr>
          <w:p w14:paraId="6C260E38">
            <w:pPr>
              <w:pStyle w:val="18"/>
              <w:rPr>
                <w:rFonts w:ascii="仿宋_GB2312" w:hAnsi="仿宋_GB2312" w:eastAsia="仿宋_GB2312" w:cs="仿宋_GB2312"/>
                <w:sz w:val="24"/>
                <w:szCs w:val="24"/>
              </w:rPr>
            </w:pPr>
          </w:p>
        </w:tc>
      </w:tr>
      <w:tr w14:paraId="304AC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7A774345">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vAlign w:val="center"/>
          </w:tcPr>
          <w:p w14:paraId="6D255726">
            <w:pPr>
              <w:pStyle w:val="18"/>
              <w:rPr>
                <w:rFonts w:ascii="仿宋_GB2312" w:hAnsi="仿宋_GB2312" w:eastAsia="仿宋_GB2312" w:cs="仿宋_GB2312"/>
                <w:sz w:val="24"/>
                <w:szCs w:val="24"/>
              </w:rPr>
            </w:pPr>
          </w:p>
        </w:tc>
        <w:tc>
          <w:tcPr>
            <w:tcW w:w="1404" w:type="dxa"/>
            <w:vAlign w:val="center"/>
          </w:tcPr>
          <w:p w14:paraId="56E8DF5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38E04751">
            <w:pPr>
              <w:pStyle w:val="18"/>
              <w:rPr>
                <w:rFonts w:ascii="仿宋_GB2312" w:hAnsi="仿宋_GB2312" w:eastAsia="仿宋_GB2312" w:cs="仿宋_GB2312"/>
                <w:sz w:val="24"/>
                <w:szCs w:val="24"/>
              </w:rPr>
            </w:pPr>
          </w:p>
        </w:tc>
      </w:tr>
      <w:tr w14:paraId="2F77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313F4354">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vAlign w:val="center"/>
          </w:tcPr>
          <w:p w14:paraId="430C0082">
            <w:pPr>
              <w:pStyle w:val="18"/>
              <w:rPr>
                <w:rFonts w:ascii="仿宋_GB2312" w:hAnsi="仿宋_GB2312" w:eastAsia="仿宋_GB2312" w:cs="仿宋_GB2312"/>
                <w:sz w:val="24"/>
                <w:szCs w:val="24"/>
              </w:rPr>
            </w:pPr>
          </w:p>
        </w:tc>
        <w:tc>
          <w:tcPr>
            <w:tcW w:w="1404" w:type="dxa"/>
            <w:vAlign w:val="center"/>
          </w:tcPr>
          <w:p w14:paraId="6F3E7FB7">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vAlign w:val="center"/>
          </w:tcPr>
          <w:p w14:paraId="72C73214">
            <w:pPr>
              <w:pStyle w:val="18"/>
              <w:rPr>
                <w:rFonts w:ascii="仿宋_GB2312" w:hAnsi="仿宋_GB2312" w:eastAsia="仿宋_GB2312" w:cs="仿宋_GB2312"/>
                <w:sz w:val="24"/>
                <w:szCs w:val="24"/>
              </w:rPr>
            </w:pPr>
          </w:p>
        </w:tc>
      </w:tr>
      <w:tr w14:paraId="7A5A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6BDE19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vAlign w:val="center"/>
          </w:tcPr>
          <w:p w14:paraId="376129C4">
            <w:pPr>
              <w:pStyle w:val="18"/>
              <w:rPr>
                <w:rFonts w:ascii="仿宋_GB2312" w:hAnsi="仿宋_GB2312" w:eastAsia="仿宋_GB2312" w:cs="仿宋_GB2312"/>
                <w:sz w:val="24"/>
                <w:szCs w:val="24"/>
              </w:rPr>
            </w:pPr>
          </w:p>
        </w:tc>
      </w:tr>
      <w:tr w14:paraId="0502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vAlign w:val="center"/>
          </w:tcPr>
          <w:p w14:paraId="5FE04E6F">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vAlign w:val="center"/>
          </w:tcPr>
          <w:p w14:paraId="3CC04310">
            <w:pPr>
              <w:pStyle w:val="18"/>
              <w:rPr>
                <w:rFonts w:ascii="仿宋_GB2312" w:hAnsi="仿宋_GB2312" w:eastAsia="仿宋_GB2312" w:cs="仿宋_GB2312"/>
                <w:sz w:val="24"/>
                <w:szCs w:val="24"/>
              </w:rPr>
            </w:pPr>
          </w:p>
        </w:tc>
      </w:tr>
      <w:tr w14:paraId="1DC08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64D7743">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565C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vAlign w:val="center"/>
          </w:tcPr>
          <w:p w14:paraId="023C3FA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69106003">
      <w:pPr>
        <w:jc w:val="center"/>
        <w:rPr>
          <w:rFonts w:ascii="仿宋" w:hAnsi="仿宋" w:eastAsia="仿宋"/>
          <w:b/>
          <w:bCs/>
          <w:sz w:val="28"/>
          <w:szCs w:val="28"/>
          <w:lang w:eastAsia="zh-CN"/>
        </w:rPr>
      </w:pPr>
    </w:p>
    <w:p w14:paraId="40DBCE3F">
      <w:pPr>
        <w:jc w:val="center"/>
        <w:rPr>
          <w:rFonts w:ascii="仿宋" w:hAnsi="仿宋" w:eastAsia="仿宋"/>
          <w:b/>
          <w:bCs/>
          <w:sz w:val="28"/>
          <w:szCs w:val="28"/>
          <w:lang w:eastAsia="zh-CN"/>
        </w:rPr>
      </w:pPr>
      <w:r>
        <w:rPr>
          <w:rFonts w:hint="eastAsia" w:ascii="仿宋" w:hAnsi="仿宋" w:eastAsia="仿宋"/>
          <w:b/>
          <w:bCs/>
          <w:sz w:val="28"/>
          <w:szCs w:val="28"/>
          <w:lang w:eastAsia="zh-CN"/>
        </w:rPr>
        <w:t>六、具有独立承担民事责任的能力的证明材料</w:t>
      </w:r>
    </w:p>
    <w:p w14:paraId="4133D47E">
      <w:pPr>
        <w:pStyle w:val="7"/>
        <w:spacing w:before="111"/>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供应商为法人或者其他组织的，提供营业执照等证明文件；供应商为自然人的，提供身份证明。</w:t>
      </w:r>
    </w:p>
    <w:p w14:paraId="01A993F5">
      <w:pPr>
        <w:rPr>
          <w:lang w:eastAsia="zh-CN"/>
        </w:rPr>
      </w:pPr>
    </w:p>
    <w:p w14:paraId="2FF4FC16">
      <w:pPr>
        <w:rPr>
          <w:rFonts w:ascii="仿宋" w:hAnsi="仿宋" w:eastAsia="仿宋"/>
          <w:sz w:val="28"/>
          <w:szCs w:val="28"/>
          <w:lang w:eastAsia="zh-CN"/>
        </w:rPr>
      </w:pPr>
      <w:r>
        <w:rPr>
          <w:rFonts w:hint="eastAsia" w:ascii="仿宋" w:hAnsi="仿宋" w:eastAsia="仿宋"/>
          <w:sz w:val="28"/>
          <w:szCs w:val="28"/>
          <w:lang w:eastAsia="zh-CN"/>
        </w:rPr>
        <w:t>（格式自拟）</w:t>
      </w:r>
    </w:p>
    <w:p w14:paraId="048F5E54">
      <w:pPr>
        <w:jc w:val="both"/>
        <w:rPr>
          <w:rFonts w:ascii="仿宋" w:hAnsi="仿宋" w:eastAsia="仿宋"/>
          <w:b/>
          <w:bCs/>
          <w:sz w:val="28"/>
          <w:szCs w:val="28"/>
          <w:lang w:eastAsia="zh-CN"/>
        </w:rPr>
      </w:pPr>
    </w:p>
    <w:p w14:paraId="2FB71576">
      <w:pPr>
        <w:jc w:val="both"/>
        <w:rPr>
          <w:rFonts w:ascii="仿宋" w:hAnsi="仿宋" w:eastAsia="仿宋"/>
          <w:b/>
          <w:bCs/>
          <w:sz w:val="28"/>
          <w:szCs w:val="28"/>
          <w:lang w:eastAsia="zh-CN"/>
        </w:rPr>
      </w:pPr>
    </w:p>
    <w:p w14:paraId="49094512">
      <w:pPr>
        <w:jc w:val="both"/>
        <w:rPr>
          <w:rFonts w:ascii="仿宋" w:hAnsi="仿宋" w:eastAsia="仿宋"/>
          <w:b/>
          <w:bCs/>
          <w:sz w:val="28"/>
          <w:szCs w:val="28"/>
          <w:lang w:eastAsia="zh-CN"/>
        </w:rPr>
      </w:pPr>
    </w:p>
    <w:p w14:paraId="60F0A9D4">
      <w:pPr>
        <w:jc w:val="both"/>
        <w:rPr>
          <w:rFonts w:ascii="仿宋" w:hAnsi="仿宋" w:eastAsia="仿宋"/>
          <w:b/>
          <w:bCs/>
          <w:sz w:val="28"/>
          <w:szCs w:val="28"/>
          <w:lang w:eastAsia="zh-CN"/>
        </w:rPr>
      </w:pPr>
    </w:p>
    <w:p w14:paraId="48FD576A">
      <w:pPr>
        <w:jc w:val="center"/>
        <w:rPr>
          <w:rFonts w:ascii="仿宋" w:hAnsi="仿宋" w:eastAsia="仿宋"/>
          <w:b/>
          <w:bCs/>
          <w:sz w:val="28"/>
          <w:szCs w:val="28"/>
          <w:lang w:eastAsia="zh-CN"/>
        </w:rPr>
      </w:pPr>
      <w:r>
        <w:rPr>
          <w:rFonts w:hint="eastAsia" w:ascii="仿宋" w:hAnsi="仿宋" w:eastAsia="仿宋"/>
          <w:b/>
          <w:bCs/>
          <w:sz w:val="28"/>
          <w:szCs w:val="28"/>
          <w:lang w:eastAsia="zh-CN"/>
        </w:rPr>
        <w:t>七、具有良好的商业信誉和健全的财务会计制度的相关材料</w:t>
      </w:r>
    </w:p>
    <w:p w14:paraId="0BB39385">
      <w:pPr>
        <w:pStyle w:val="7"/>
        <w:spacing w:before="111"/>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供应商提供具有良好的商业信誉和健全的财务会计制度的相关材料。</w:t>
      </w:r>
    </w:p>
    <w:p w14:paraId="17A64C99">
      <w:pPr>
        <w:ind w:firstLine="200"/>
        <w:jc w:val="both"/>
        <w:rPr>
          <w:rFonts w:ascii="仿宋_GB2312" w:hAnsi="仿宋_GB2312" w:eastAsia="仿宋_GB2312" w:cs="仿宋_GB2312"/>
          <w:sz w:val="24"/>
          <w:szCs w:val="24"/>
          <w:lang w:eastAsia="zh-CN"/>
        </w:rPr>
      </w:pPr>
    </w:p>
    <w:p w14:paraId="41DDCE34">
      <w:pPr>
        <w:ind w:firstLine="200"/>
        <w:jc w:val="both"/>
        <w:rPr>
          <w:rFonts w:ascii="仿宋" w:hAnsi="仿宋" w:eastAsia="仿宋"/>
          <w:sz w:val="28"/>
          <w:szCs w:val="28"/>
          <w:lang w:eastAsia="zh-CN"/>
        </w:rPr>
      </w:pPr>
      <w:r>
        <w:rPr>
          <w:rFonts w:hint="eastAsia" w:ascii="仿宋" w:hAnsi="仿宋" w:eastAsia="仿宋"/>
          <w:sz w:val="28"/>
          <w:szCs w:val="28"/>
          <w:lang w:eastAsia="zh-CN"/>
        </w:rPr>
        <w:t>（格式自拟）</w:t>
      </w:r>
    </w:p>
    <w:p w14:paraId="4A8F079F">
      <w:pPr>
        <w:ind w:firstLine="200"/>
        <w:jc w:val="both"/>
        <w:rPr>
          <w:rFonts w:ascii="仿宋" w:hAnsi="仿宋" w:eastAsia="仿宋"/>
          <w:sz w:val="28"/>
          <w:szCs w:val="28"/>
          <w:lang w:eastAsia="zh-CN"/>
        </w:rPr>
      </w:pPr>
    </w:p>
    <w:p w14:paraId="1CBB8AC5">
      <w:pPr>
        <w:ind w:firstLine="200"/>
        <w:jc w:val="both"/>
        <w:rPr>
          <w:rFonts w:ascii="仿宋" w:hAnsi="仿宋" w:eastAsia="仿宋"/>
          <w:sz w:val="28"/>
          <w:szCs w:val="28"/>
          <w:lang w:eastAsia="zh-CN"/>
        </w:rPr>
      </w:pPr>
    </w:p>
    <w:p w14:paraId="5C80CF08">
      <w:pPr>
        <w:ind w:firstLine="200"/>
        <w:jc w:val="both"/>
        <w:rPr>
          <w:rFonts w:ascii="仿宋" w:hAnsi="仿宋" w:eastAsia="仿宋"/>
          <w:sz w:val="28"/>
          <w:szCs w:val="28"/>
          <w:lang w:eastAsia="zh-CN"/>
        </w:rPr>
      </w:pPr>
    </w:p>
    <w:p w14:paraId="76D089A4">
      <w:pPr>
        <w:ind w:firstLine="200"/>
        <w:jc w:val="both"/>
        <w:rPr>
          <w:rFonts w:ascii="仿宋" w:hAnsi="仿宋" w:eastAsia="仿宋"/>
          <w:b/>
          <w:bCs/>
          <w:sz w:val="28"/>
          <w:szCs w:val="28"/>
          <w:lang w:eastAsia="zh-CN"/>
        </w:rPr>
      </w:pPr>
      <w:r>
        <w:rPr>
          <w:rFonts w:hint="eastAsia" w:ascii="仿宋" w:hAnsi="仿宋" w:eastAsia="仿宋"/>
          <w:b/>
          <w:bCs/>
          <w:sz w:val="28"/>
          <w:szCs w:val="28"/>
          <w:lang w:eastAsia="zh-CN"/>
        </w:rPr>
        <w:t>八、依法缴纳税收和社会保障资金的良好记录的相关材料</w:t>
      </w:r>
    </w:p>
    <w:p w14:paraId="6DBF8E2E">
      <w:pPr>
        <w:pStyle w:val="7"/>
        <w:spacing w:before="111"/>
        <w:ind w:left="49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供应商提供依法缴纳税收和社会保障资金的相关材料。</w:t>
      </w:r>
    </w:p>
    <w:p w14:paraId="3174E9C0">
      <w:pPr>
        <w:jc w:val="center"/>
        <w:rPr>
          <w:rFonts w:ascii="仿宋" w:hAnsi="仿宋" w:eastAsia="仿宋"/>
          <w:b/>
          <w:bCs/>
          <w:sz w:val="28"/>
          <w:szCs w:val="28"/>
          <w:lang w:eastAsia="zh-CN"/>
        </w:rPr>
      </w:pPr>
    </w:p>
    <w:p w14:paraId="7B4679B3">
      <w:pPr>
        <w:rPr>
          <w:rFonts w:ascii="仿宋" w:hAnsi="仿宋" w:eastAsia="仿宋"/>
          <w:sz w:val="28"/>
          <w:szCs w:val="28"/>
          <w:lang w:eastAsia="zh-CN"/>
        </w:rPr>
      </w:pPr>
      <w:r>
        <w:rPr>
          <w:rFonts w:hint="eastAsia" w:ascii="仿宋" w:hAnsi="仿宋" w:eastAsia="仿宋"/>
          <w:sz w:val="28"/>
          <w:szCs w:val="28"/>
          <w:lang w:eastAsia="zh-CN"/>
        </w:rPr>
        <w:t>（格式自拟）</w:t>
      </w:r>
    </w:p>
    <w:p w14:paraId="207DE71E">
      <w:pPr>
        <w:rPr>
          <w:rFonts w:ascii="仿宋" w:hAnsi="仿宋" w:eastAsia="仿宋"/>
          <w:b/>
          <w:bCs/>
          <w:sz w:val="28"/>
          <w:szCs w:val="28"/>
          <w:lang w:eastAsia="zh-CN"/>
        </w:rPr>
      </w:pPr>
    </w:p>
    <w:p w14:paraId="71E97151">
      <w:pPr>
        <w:jc w:val="both"/>
        <w:rPr>
          <w:rFonts w:ascii="仿宋" w:hAnsi="仿宋" w:eastAsia="仿宋"/>
          <w:b/>
          <w:bCs/>
          <w:sz w:val="28"/>
          <w:szCs w:val="28"/>
          <w:lang w:eastAsia="zh-CN"/>
        </w:rPr>
      </w:pPr>
    </w:p>
    <w:p w14:paraId="65EFC797">
      <w:pPr>
        <w:jc w:val="both"/>
        <w:rPr>
          <w:rFonts w:ascii="仿宋" w:hAnsi="仿宋" w:eastAsia="仿宋"/>
          <w:b/>
          <w:bCs/>
          <w:sz w:val="28"/>
          <w:szCs w:val="28"/>
          <w:lang w:eastAsia="zh-CN"/>
        </w:rPr>
      </w:pPr>
    </w:p>
    <w:p w14:paraId="3AC861CF">
      <w:pPr>
        <w:jc w:val="center"/>
        <w:rPr>
          <w:rFonts w:ascii="仿宋" w:hAnsi="仿宋" w:eastAsia="仿宋"/>
          <w:b/>
          <w:bCs/>
          <w:sz w:val="28"/>
          <w:szCs w:val="28"/>
          <w:lang w:eastAsia="zh-CN"/>
        </w:rPr>
      </w:pPr>
      <w:r>
        <w:rPr>
          <w:rFonts w:hint="eastAsia" w:ascii="仿宋" w:hAnsi="仿宋" w:eastAsia="仿宋"/>
          <w:b/>
          <w:bCs/>
          <w:sz w:val="28"/>
          <w:szCs w:val="28"/>
          <w:lang w:eastAsia="zh-CN"/>
        </w:rPr>
        <w:t>九、具有履行合同所必需的设备和专业技术能力的证明材料</w:t>
      </w:r>
    </w:p>
    <w:p w14:paraId="71AE827C">
      <w:pPr>
        <w:pStyle w:val="7"/>
        <w:spacing w:before="111"/>
        <w:ind w:left="238" w:leftChars="108"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供应商提供具有履行合同所必需的设备和专业技术能力的证明材料。</w:t>
      </w:r>
    </w:p>
    <w:p w14:paraId="1C086086">
      <w:pPr>
        <w:rPr>
          <w:lang w:eastAsia="zh-CN"/>
        </w:rPr>
      </w:pPr>
    </w:p>
    <w:p w14:paraId="41C8D538">
      <w:pPr>
        <w:rPr>
          <w:rFonts w:ascii="仿宋" w:hAnsi="仿宋" w:eastAsia="仿宋"/>
          <w:sz w:val="28"/>
          <w:szCs w:val="28"/>
          <w:lang w:eastAsia="zh-CN"/>
        </w:rPr>
      </w:pPr>
      <w:r>
        <w:rPr>
          <w:rFonts w:hint="eastAsia" w:ascii="仿宋" w:hAnsi="仿宋" w:eastAsia="仿宋"/>
          <w:sz w:val="28"/>
          <w:szCs w:val="28"/>
          <w:lang w:eastAsia="zh-CN"/>
        </w:rPr>
        <w:t>（格式自拟）</w:t>
      </w:r>
    </w:p>
    <w:p w14:paraId="76565B91">
      <w:pPr>
        <w:rPr>
          <w:rFonts w:ascii="仿宋" w:hAnsi="仿宋" w:eastAsia="仿宋"/>
          <w:sz w:val="28"/>
          <w:szCs w:val="28"/>
          <w:lang w:eastAsia="zh-CN"/>
        </w:rPr>
      </w:pPr>
    </w:p>
    <w:p w14:paraId="3057929D">
      <w:pPr>
        <w:rPr>
          <w:rFonts w:ascii="仿宋" w:hAnsi="仿宋" w:eastAsia="仿宋"/>
          <w:sz w:val="28"/>
          <w:szCs w:val="28"/>
          <w:lang w:eastAsia="zh-CN"/>
        </w:rPr>
      </w:pPr>
    </w:p>
    <w:p w14:paraId="5CB51F62">
      <w:pPr>
        <w:rPr>
          <w:rFonts w:ascii="仿宋" w:hAnsi="仿宋" w:eastAsia="仿宋"/>
          <w:sz w:val="28"/>
          <w:szCs w:val="28"/>
          <w:lang w:eastAsia="zh-CN"/>
        </w:rPr>
      </w:pPr>
    </w:p>
    <w:p w14:paraId="4C8E0687">
      <w:pPr>
        <w:rPr>
          <w:rFonts w:ascii="仿宋" w:hAnsi="仿宋" w:eastAsia="仿宋"/>
          <w:sz w:val="28"/>
          <w:szCs w:val="28"/>
          <w:lang w:eastAsia="zh-CN"/>
        </w:rPr>
      </w:pPr>
    </w:p>
    <w:p w14:paraId="0B950A78">
      <w:pPr>
        <w:rPr>
          <w:rFonts w:ascii="仿宋" w:hAnsi="仿宋" w:eastAsia="仿宋"/>
          <w:sz w:val="28"/>
          <w:szCs w:val="28"/>
          <w:lang w:eastAsia="zh-CN"/>
        </w:rPr>
      </w:pPr>
    </w:p>
    <w:p w14:paraId="073857B1">
      <w:pPr>
        <w:rPr>
          <w:rFonts w:ascii="仿宋" w:hAnsi="仿宋" w:eastAsia="仿宋"/>
          <w:sz w:val="28"/>
          <w:szCs w:val="28"/>
          <w:lang w:eastAsia="zh-CN"/>
        </w:rPr>
      </w:pPr>
    </w:p>
    <w:p w14:paraId="26183BA3">
      <w:pPr>
        <w:rPr>
          <w:rFonts w:ascii="仿宋" w:hAnsi="仿宋" w:eastAsia="仿宋"/>
          <w:sz w:val="28"/>
          <w:szCs w:val="28"/>
          <w:lang w:eastAsia="zh-CN"/>
        </w:rPr>
      </w:pPr>
    </w:p>
    <w:p w14:paraId="7337113D">
      <w:pPr>
        <w:rPr>
          <w:rFonts w:ascii="仿宋" w:hAnsi="仿宋" w:eastAsia="仿宋"/>
          <w:sz w:val="28"/>
          <w:szCs w:val="28"/>
          <w:lang w:eastAsia="zh-CN"/>
        </w:rPr>
      </w:pPr>
    </w:p>
    <w:p w14:paraId="1AF47851">
      <w:pPr>
        <w:rPr>
          <w:rFonts w:ascii="仿宋" w:hAnsi="仿宋" w:eastAsia="仿宋"/>
          <w:sz w:val="28"/>
          <w:szCs w:val="28"/>
          <w:lang w:eastAsia="zh-CN"/>
        </w:rPr>
      </w:pPr>
    </w:p>
    <w:p w14:paraId="1EE66EE4">
      <w:pPr>
        <w:rPr>
          <w:rFonts w:ascii="仿宋" w:hAnsi="仿宋" w:eastAsia="仿宋"/>
          <w:sz w:val="28"/>
          <w:szCs w:val="28"/>
          <w:lang w:eastAsia="zh-CN"/>
        </w:rPr>
      </w:pPr>
    </w:p>
    <w:p w14:paraId="3F02B877">
      <w:pPr>
        <w:rPr>
          <w:rFonts w:ascii="仿宋" w:hAnsi="仿宋" w:eastAsia="仿宋"/>
          <w:sz w:val="28"/>
          <w:szCs w:val="28"/>
          <w:lang w:eastAsia="zh-CN"/>
        </w:rPr>
      </w:pPr>
    </w:p>
    <w:p w14:paraId="36912D48">
      <w:pPr>
        <w:rPr>
          <w:rFonts w:ascii="仿宋" w:hAnsi="仿宋" w:eastAsia="仿宋"/>
          <w:sz w:val="28"/>
          <w:szCs w:val="28"/>
          <w:lang w:eastAsia="zh-CN"/>
        </w:rPr>
      </w:pPr>
    </w:p>
    <w:p w14:paraId="2A6F8880">
      <w:pPr>
        <w:rPr>
          <w:rFonts w:ascii="仿宋" w:hAnsi="仿宋" w:eastAsia="仿宋"/>
          <w:sz w:val="28"/>
          <w:szCs w:val="28"/>
          <w:lang w:eastAsia="zh-CN"/>
        </w:rPr>
      </w:pPr>
    </w:p>
    <w:p w14:paraId="4F66EB2A">
      <w:pPr>
        <w:jc w:val="center"/>
        <w:rPr>
          <w:rFonts w:ascii="仿宋" w:hAnsi="仿宋" w:eastAsia="仿宋"/>
          <w:b/>
          <w:bCs/>
          <w:sz w:val="28"/>
          <w:szCs w:val="28"/>
          <w:lang w:eastAsia="zh-CN"/>
        </w:rPr>
      </w:pPr>
      <w:r>
        <w:rPr>
          <w:rFonts w:hint="eastAsia" w:ascii="仿宋" w:hAnsi="仿宋" w:eastAsia="仿宋"/>
          <w:b/>
          <w:bCs/>
          <w:sz w:val="28"/>
          <w:szCs w:val="28"/>
          <w:lang w:eastAsia="zh-CN"/>
        </w:rPr>
        <w:t>十、参加政府采购活动前三年内在经营活动中没有重大违法记录的书面声明</w:t>
      </w:r>
    </w:p>
    <w:p w14:paraId="5832B3D3">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1C54FA11">
      <w:pPr>
        <w:pStyle w:val="7"/>
        <w:tabs>
          <w:tab w:val="left" w:pos="5291"/>
          <w:tab w:val="left" w:pos="8556"/>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特此声明</w:t>
      </w:r>
    </w:p>
    <w:p w14:paraId="5850AE70">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78B31EA5">
      <w:pPr>
        <w:pStyle w:val="7"/>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法定代表人或授权委托人（签字）：</w:t>
      </w:r>
    </w:p>
    <w:p w14:paraId="1575143A">
      <w:pPr>
        <w:pStyle w:val="7"/>
        <w:tabs>
          <w:tab w:val="left" w:pos="432"/>
          <w:tab w:val="left" w:pos="864"/>
        </w:tabs>
        <w:spacing w:line="360" w:lineRule="auto"/>
        <w:ind w:firstLine="3684" w:firstLineChars="1535"/>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年</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月</w:t>
      </w:r>
      <w:r>
        <w:rPr>
          <w:rFonts w:hint="eastAsia" w:ascii="仿宋_GB2312" w:hAnsi="仿宋_GB2312" w:eastAsia="仿宋_GB2312" w:cs="仿宋_GB2312"/>
          <w:sz w:val="24"/>
          <w:szCs w:val="24"/>
          <w:lang w:eastAsia="zh-CN"/>
        </w:rPr>
        <w:tab/>
      </w:r>
      <w:r>
        <w:rPr>
          <w:rFonts w:hint="eastAsia" w:ascii="仿宋_GB2312" w:hAnsi="仿宋_GB2312" w:eastAsia="仿宋_GB2312" w:cs="仿宋_GB2312"/>
          <w:sz w:val="24"/>
          <w:szCs w:val="24"/>
          <w:lang w:eastAsia="zh-CN"/>
        </w:rPr>
        <w:t xml:space="preserve">  日</w:t>
      </w:r>
    </w:p>
    <w:p w14:paraId="2B21B7E7">
      <w:pPr>
        <w:spacing w:line="360" w:lineRule="auto"/>
        <w:ind w:firstLine="480" w:firstLineChars="200"/>
        <w:jc w:val="both"/>
        <w:rPr>
          <w:rFonts w:ascii="仿宋_GB2312" w:hAnsi="仿宋_GB2312" w:eastAsia="仿宋_GB2312" w:cs="仿宋_GB2312"/>
          <w:sz w:val="24"/>
          <w:szCs w:val="24"/>
          <w:lang w:eastAsia="zh-CN"/>
        </w:rPr>
        <w:sectPr>
          <w:pgSz w:w="11900" w:h="16840"/>
          <w:pgMar w:top="1587" w:right="1587" w:bottom="1587" w:left="1587" w:header="0" w:footer="93" w:gutter="0"/>
          <w:cols w:space="720" w:num="1"/>
        </w:sectPr>
      </w:pPr>
    </w:p>
    <w:p w14:paraId="3F436276">
      <w:pPr>
        <w:pStyle w:val="22"/>
      </w:pPr>
      <w:r>
        <w:rPr>
          <w:rFonts w:hint="eastAsia"/>
        </w:rPr>
        <w:t>（（以下格式文件由供应商根据需要选用）</w:t>
      </w:r>
    </w:p>
    <w:p w14:paraId="154F91C8">
      <w:pPr>
        <w:pStyle w:val="7"/>
        <w:spacing w:before="5"/>
        <w:rPr>
          <w:rFonts w:ascii="仿宋_GB2312" w:hAnsi="仿宋_GB2312" w:eastAsia="仿宋_GB2312" w:cs="仿宋_GB2312"/>
          <w:sz w:val="24"/>
          <w:szCs w:val="24"/>
          <w:lang w:eastAsia="zh-CN"/>
        </w:rPr>
      </w:pPr>
    </w:p>
    <w:p w14:paraId="61E1ECCC">
      <w:pPr>
        <w:jc w:val="center"/>
        <w:rPr>
          <w:rFonts w:ascii="仿宋" w:hAnsi="仿宋" w:eastAsia="仿宋"/>
          <w:b/>
          <w:bCs/>
          <w:sz w:val="28"/>
          <w:szCs w:val="28"/>
          <w:lang w:eastAsia="zh-CN"/>
        </w:rPr>
      </w:pPr>
      <w:r>
        <w:rPr>
          <w:rFonts w:hint="eastAsia" w:ascii="仿宋" w:hAnsi="仿宋" w:eastAsia="仿宋"/>
          <w:b/>
          <w:bCs/>
          <w:sz w:val="28"/>
          <w:szCs w:val="28"/>
          <w:lang w:eastAsia="zh-CN"/>
        </w:rPr>
        <w:t>十一、中小企业声明函（货物）</w:t>
      </w:r>
    </w:p>
    <w:p w14:paraId="3022C598">
      <w:pPr>
        <w:pStyle w:val="7"/>
        <w:spacing w:line="360" w:lineRule="auto"/>
        <w:ind w:firstLine="50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05"/>
          <w:sz w:val="24"/>
          <w:szCs w:val="24"/>
          <w:lang w:eastAsia="zh-CN"/>
        </w:rPr>
        <w:t>本公司（联合体）郑重声明，根据《政府采购促进中小企业发展管理办法》（财库﹝2020﹞46 号）的规定，本公司</w:t>
      </w:r>
      <w:r>
        <w:rPr>
          <w:rFonts w:hint="eastAsia" w:ascii="仿宋_GB2312" w:hAnsi="仿宋_GB2312" w:eastAsia="仿宋_GB2312" w:cs="仿宋_GB2312"/>
          <w:sz w:val="24"/>
          <w:szCs w:val="24"/>
          <w:lang w:eastAsia="zh-CN"/>
        </w:rPr>
        <w:t>（联合体）参加（单位名称）的（项目名称）采购活动，提供的货物全部由符合政策要求的中小企业制造。相关企业（含联合体中的中小企业、签订分包意向协议的中小企业）的具体情况如下：</w:t>
      </w:r>
    </w:p>
    <w:p w14:paraId="436318CA">
      <w:pPr>
        <w:pStyle w:val="7"/>
        <w:tabs>
          <w:tab w:val="left" w:pos="1258"/>
          <w:tab w:val="left" w:pos="3754"/>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sz w:val="24"/>
          <w:szCs w:val="24"/>
          <w:lang w:eastAsia="zh-CN"/>
        </w:rPr>
        <w:t>标的名称），属于（采购文件中明确的所属行业）行业；制造商为（企业名称），从业人员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人，营业收</w:t>
      </w:r>
      <w:r>
        <w:rPr>
          <w:rFonts w:hint="eastAsia" w:ascii="仿宋_GB2312" w:hAnsi="仿宋_GB2312" w:eastAsia="仿宋_GB2312" w:cs="仿宋_GB2312"/>
          <w:spacing w:val="-18"/>
          <w:sz w:val="24"/>
          <w:szCs w:val="24"/>
          <w:lang w:eastAsia="zh-CN"/>
        </w:rPr>
        <w:t>入</w:t>
      </w:r>
      <w:r>
        <w:rPr>
          <w:rFonts w:hint="eastAsia" w:ascii="仿宋_GB2312" w:hAnsi="仿宋_GB2312" w:eastAsia="仿宋_GB2312" w:cs="仿宋_GB2312"/>
          <w:sz w:val="24"/>
          <w:szCs w:val="24"/>
          <w:lang w:eastAsia="zh-CN"/>
        </w:rPr>
        <w:t>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46C02499">
      <w:pPr>
        <w:pStyle w:val="7"/>
        <w:tabs>
          <w:tab w:val="left" w:pos="9504"/>
        </w:tabs>
        <w:spacing w:line="360" w:lineRule="auto"/>
        <w:ind w:firstLine="528"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w w:val="110"/>
          <w:sz w:val="24"/>
          <w:szCs w:val="24"/>
          <w:lang w:eastAsia="zh-CN"/>
        </w:rPr>
        <w:t xml:space="preserve">   二、（</w:t>
      </w:r>
      <w:r>
        <w:rPr>
          <w:rFonts w:hint="eastAsia" w:ascii="仿宋_GB2312" w:hAnsi="仿宋_GB2312" w:eastAsia="仿宋_GB2312" w:cs="仿宋_GB2312"/>
          <w:sz w:val="24"/>
          <w:szCs w:val="24"/>
          <w:lang w:eastAsia="zh-CN"/>
        </w:rPr>
        <w:t xml:space="preserve">标的名称），属于（采购文件中明确的所属行业）行业；制造商为（企业名称），从业人员 </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人，营业收入为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万元，资产总额为</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万元，属于（中型企业、小型企业、微型企业）；</w:t>
      </w:r>
    </w:p>
    <w:p w14:paraId="19DBF6AD">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p>
    <w:p w14:paraId="04EDE3F0">
      <w:pPr>
        <w:pStyle w:val="7"/>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以上企业，不属于大企业的分支机构，不存在控股股东为大企业的情形，也不存在与大企业的负责人为同一人的情形。本企业对上述声明内容的真实性负责。如有虚假，将依法承担相应责任。</w:t>
      </w:r>
    </w:p>
    <w:p w14:paraId="0FB00C8A">
      <w:pPr>
        <w:pStyle w:val="7"/>
        <w:spacing w:line="360" w:lineRule="auto"/>
        <w:ind w:firstLine="5520" w:firstLineChars="23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企业名称（盖章）：</w:t>
      </w:r>
    </w:p>
    <w:p w14:paraId="4C105FDC">
      <w:pPr>
        <w:pStyle w:val="7"/>
        <w:spacing w:line="360" w:lineRule="auto"/>
        <w:ind w:firstLine="5824" w:firstLineChars="26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78229CC8">
      <w:pPr>
        <w:pStyle w:val="7"/>
        <w:spacing w:line="360" w:lineRule="auto"/>
        <w:ind w:firstLine="480" w:firstLineChars="200"/>
        <w:jc w:val="both"/>
        <w:rPr>
          <w:rFonts w:ascii="仿宋_GB2312" w:hAnsi="仿宋_GB2312" w:eastAsia="仿宋_GB2312" w:cs="仿宋_GB2312"/>
          <w:sz w:val="24"/>
          <w:szCs w:val="24"/>
          <w:lang w:eastAsia="zh-CN"/>
        </w:rPr>
      </w:pPr>
    </w:p>
    <w:p w14:paraId="4B0C2CA4">
      <w:pPr>
        <w:spacing w:line="360" w:lineRule="auto"/>
        <w:jc w:val="both"/>
        <w:rPr>
          <w:rFonts w:ascii="仿宋_GB2312" w:hAnsi="仿宋_GB2312" w:eastAsia="仿宋_GB2312" w:cs="仿宋_GB2312"/>
          <w:w w:val="105"/>
          <w:sz w:val="24"/>
          <w:szCs w:val="24"/>
          <w:lang w:eastAsia="zh-CN"/>
        </w:rPr>
      </w:pPr>
      <w:r>
        <w:rPr>
          <w:rFonts w:hint="eastAsia" w:ascii="仿宋_GB2312" w:hAnsi="仿宋_GB2312" w:eastAsia="仿宋_GB2312" w:cs="仿宋_GB2312"/>
          <w:w w:val="105"/>
          <w:sz w:val="24"/>
          <w:szCs w:val="24"/>
          <w:lang w:eastAsia="zh-CN"/>
        </w:rPr>
        <w:t>注：从业人员、营业收入、资产总额填报上一年度数据，无上一年度数据的新成立企业可不填报。</w:t>
      </w:r>
    </w:p>
    <w:p w14:paraId="0BFA2C50">
      <w:pPr>
        <w:spacing w:line="360" w:lineRule="auto"/>
        <w:jc w:val="both"/>
        <w:rPr>
          <w:rFonts w:eastAsia="仿宋_GB2312"/>
          <w:sz w:val="14"/>
          <w:lang w:eastAsia="zh-CN"/>
        </w:rPr>
      </w:pPr>
    </w:p>
    <w:p w14:paraId="64965054">
      <w:pPr>
        <w:spacing w:line="360" w:lineRule="auto"/>
        <w:ind w:firstLine="506" w:firstLineChars="200"/>
        <w:jc w:val="both"/>
        <w:rPr>
          <w:rFonts w:ascii="仿宋_GB2312" w:hAnsi="仿宋_GB2312" w:eastAsia="仿宋_GB2312" w:cs="仿宋_GB2312"/>
          <w:b/>
          <w:bCs/>
          <w:w w:val="105"/>
          <w:sz w:val="24"/>
          <w:szCs w:val="24"/>
          <w:lang w:eastAsia="zh-CN"/>
        </w:rPr>
        <w:sectPr>
          <w:pgSz w:w="11900" w:h="16840"/>
          <w:pgMar w:top="1587" w:right="1587" w:bottom="1587" w:left="1587" w:header="0" w:footer="93" w:gutter="0"/>
          <w:cols w:space="720" w:num="1"/>
        </w:sectPr>
      </w:pPr>
      <w:r>
        <w:rPr>
          <w:rFonts w:hint="eastAsia" w:ascii="仿宋_GB2312" w:hAnsi="仿宋_GB2312" w:eastAsia="仿宋_GB2312" w:cs="仿宋_GB2312"/>
          <w:b/>
          <w:bCs/>
          <w:w w:val="105"/>
          <w:sz w:val="24"/>
          <w:szCs w:val="24"/>
          <w:lang w:eastAsia="zh-CN"/>
        </w:rPr>
        <w:t>提供中小企业截图</w:t>
      </w:r>
    </w:p>
    <w:p w14:paraId="46429BF3">
      <w:pPr>
        <w:pStyle w:val="22"/>
      </w:pPr>
      <w:r>
        <w:rPr>
          <w:rFonts w:hint="eastAsia"/>
        </w:rPr>
        <w:t>（以下格式文件由供应商根据需要选用）</w:t>
      </w:r>
    </w:p>
    <w:p w14:paraId="33EB2062">
      <w:pPr>
        <w:pStyle w:val="7"/>
        <w:spacing w:before="5"/>
        <w:rPr>
          <w:rFonts w:ascii="仿宋_GB2312" w:hAnsi="仿宋_GB2312" w:eastAsia="仿宋_GB2312" w:cs="仿宋_GB2312"/>
          <w:sz w:val="24"/>
          <w:szCs w:val="24"/>
          <w:lang w:eastAsia="zh-CN"/>
        </w:rPr>
      </w:pPr>
    </w:p>
    <w:p w14:paraId="6B78050A">
      <w:pPr>
        <w:jc w:val="center"/>
        <w:rPr>
          <w:rFonts w:ascii="仿宋" w:hAnsi="仿宋" w:eastAsia="仿宋"/>
          <w:b/>
          <w:bCs/>
          <w:sz w:val="28"/>
          <w:szCs w:val="28"/>
          <w:lang w:eastAsia="zh-CN"/>
        </w:rPr>
      </w:pPr>
      <w:r>
        <w:rPr>
          <w:rFonts w:hint="eastAsia" w:ascii="仿宋" w:hAnsi="仿宋" w:eastAsia="仿宋"/>
          <w:b/>
          <w:bCs/>
          <w:sz w:val="28"/>
          <w:szCs w:val="28"/>
          <w:lang w:eastAsia="zh-CN"/>
        </w:rPr>
        <w:t>十二、监狱企业证明文件</w:t>
      </w:r>
    </w:p>
    <w:p w14:paraId="72383BB1">
      <w:pPr>
        <w:pStyle w:val="7"/>
        <w:spacing w:before="111"/>
        <w:ind w:left="240" w:leftChars="109" w:firstLine="468" w:firstLineChars="195"/>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提供由省级以上监狱管理局、戒毒管理局（含新疆生产建设兵团）出具的属于监狱企业的证明文件。</w:t>
      </w:r>
    </w:p>
    <w:p w14:paraId="2F4BA717">
      <w:pPr>
        <w:rPr>
          <w:lang w:eastAsia="zh-CN"/>
        </w:rPr>
      </w:pPr>
    </w:p>
    <w:p w14:paraId="18B7BA46">
      <w:pPr>
        <w:rPr>
          <w:lang w:eastAsia="zh-CN"/>
        </w:rPr>
      </w:pPr>
    </w:p>
    <w:p w14:paraId="1BF521AC">
      <w:pPr>
        <w:pStyle w:val="22"/>
      </w:pPr>
      <w:r>
        <w:rPr>
          <w:rFonts w:hint="eastAsia"/>
        </w:rPr>
        <w:t>（以下格式文件由供应商根据需要选用）</w:t>
      </w:r>
    </w:p>
    <w:p w14:paraId="04A027DA">
      <w:pPr>
        <w:pStyle w:val="7"/>
        <w:spacing w:before="5"/>
        <w:rPr>
          <w:rFonts w:ascii="仿宋_GB2312" w:hAnsi="仿宋_GB2312" w:eastAsia="仿宋_GB2312" w:cs="仿宋_GB2312"/>
          <w:sz w:val="24"/>
          <w:szCs w:val="24"/>
          <w:lang w:eastAsia="zh-CN"/>
        </w:rPr>
      </w:pPr>
    </w:p>
    <w:p w14:paraId="6829983C">
      <w:pPr>
        <w:jc w:val="center"/>
        <w:rPr>
          <w:rFonts w:ascii="仿宋" w:hAnsi="仿宋" w:eastAsia="仿宋"/>
          <w:b/>
          <w:bCs/>
          <w:sz w:val="28"/>
          <w:szCs w:val="28"/>
          <w:lang w:eastAsia="zh-CN"/>
        </w:rPr>
      </w:pPr>
      <w:r>
        <w:rPr>
          <w:rFonts w:hint="eastAsia" w:ascii="仿宋" w:hAnsi="仿宋" w:eastAsia="仿宋"/>
          <w:b/>
          <w:bCs/>
          <w:sz w:val="28"/>
          <w:szCs w:val="28"/>
          <w:lang w:eastAsia="zh-CN"/>
        </w:rPr>
        <w:t>十三、残疾人福利性单位声明函</w:t>
      </w:r>
    </w:p>
    <w:p w14:paraId="599BDC24">
      <w:pPr>
        <w:pStyle w:val="7"/>
        <w:ind w:firstLine="480" w:firstLineChars="200"/>
        <w:jc w:val="both"/>
        <w:rPr>
          <w:rFonts w:ascii="仿宋_GB2312" w:hAnsi="仿宋_GB2312" w:eastAsia="仿宋_GB2312" w:cs="仿宋_GB2312"/>
          <w:sz w:val="24"/>
          <w:szCs w:val="24"/>
          <w:lang w:eastAsia="zh-CN"/>
        </w:rPr>
      </w:pPr>
    </w:p>
    <w:p w14:paraId="3AEF1039">
      <w:pPr>
        <w:pStyle w:val="7"/>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本单位郑重声明，根据《财政部、民政部、中国残疾人联合会关于促进残疾人就业政府采购政策的通知》（财库〔2017〕</w:t>
      </w:r>
      <w:r>
        <w:rPr>
          <w:rFonts w:hint="eastAsia" w:ascii="仿宋_GB2312" w:hAnsi="仿宋_GB2312" w:eastAsia="仿宋_GB2312" w:cs="仿宋_GB2312"/>
          <w:spacing w:val="-3"/>
          <w:w w:val="110"/>
          <w:sz w:val="24"/>
          <w:szCs w:val="24"/>
          <w:lang w:eastAsia="zh-CN"/>
        </w:rPr>
        <w:t>141</w:t>
      </w:r>
      <w:r>
        <w:rPr>
          <w:rFonts w:hint="eastAsia" w:ascii="仿宋_GB2312" w:hAnsi="仿宋_GB2312" w:eastAsia="仿宋_GB2312" w:cs="仿宋_GB2312"/>
          <w:sz w:val="24"/>
          <w:szCs w:val="24"/>
          <w:lang w:eastAsia="zh-CN"/>
        </w:rPr>
        <w:t>号）的规定，本单位为符合条件的残疾人福利性单位，且本单位参加</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单位的</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项目采购活动提供本单位制造</w:t>
      </w:r>
      <w:r>
        <w:rPr>
          <w:rFonts w:hint="eastAsia" w:ascii="仿宋_GB2312" w:hAnsi="仿宋_GB2312" w:eastAsia="仿宋_GB2312" w:cs="仿宋_GB2312"/>
          <w:spacing w:val="-18"/>
          <w:sz w:val="24"/>
          <w:szCs w:val="24"/>
          <w:lang w:eastAsia="zh-CN"/>
        </w:rPr>
        <w:t>的</w:t>
      </w:r>
      <w:r>
        <w:rPr>
          <w:rFonts w:hint="eastAsia" w:ascii="仿宋_GB2312" w:hAnsi="仿宋_GB2312" w:eastAsia="仿宋_GB2312" w:cs="仿宋_GB2312"/>
          <w:sz w:val="24"/>
          <w:szCs w:val="24"/>
          <w:lang w:eastAsia="zh-CN"/>
        </w:rPr>
        <w:t>货物（由本单位承担工程</w:t>
      </w:r>
      <w:r>
        <w:rPr>
          <w:rFonts w:hint="eastAsia" w:ascii="仿宋_GB2312" w:hAnsi="仿宋_GB2312" w:eastAsia="仿宋_GB2312" w:cs="仿宋_GB2312"/>
          <w:spacing w:val="-5"/>
          <w:sz w:val="24"/>
          <w:szCs w:val="24"/>
          <w:lang w:eastAsia="zh-CN"/>
        </w:rPr>
        <w:t>/</w:t>
      </w:r>
      <w:r>
        <w:rPr>
          <w:rFonts w:hint="eastAsia" w:ascii="仿宋_GB2312" w:hAnsi="仿宋_GB2312" w:eastAsia="仿宋_GB2312" w:cs="仿宋_GB2312"/>
          <w:sz w:val="24"/>
          <w:szCs w:val="24"/>
          <w:lang w:eastAsia="zh-CN"/>
        </w:rPr>
        <w:t>提供服务），或者提供其他残疾人福利性单位制造的货物（不包括使用非残疾人福利性单位注册商 标的货物）。本单位对上述声明的真实性负责。如有虚假，将依法承担相应责任。</w:t>
      </w:r>
    </w:p>
    <w:p w14:paraId="1B6FDAED">
      <w:pPr>
        <w:pStyle w:val="7"/>
        <w:ind w:firstLine="480" w:firstLineChars="200"/>
        <w:jc w:val="both"/>
        <w:rPr>
          <w:rFonts w:ascii="仿宋_GB2312" w:hAnsi="仿宋_GB2312" w:eastAsia="仿宋_GB2312" w:cs="仿宋_GB2312"/>
          <w:sz w:val="24"/>
          <w:szCs w:val="24"/>
          <w:lang w:eastAsia="zh-CN"/>
        </w:rPr>
      </w:pPr>
    </w:p>
    <w:p w14:paraId="4C33EB3A">
      <w:pPr>
        <w:pStyle w:val="7"/>
        <w:ind w:firstLine="480" w:firstLineChars="200"/>
        <w:jc w:val="both"/>
        <w:rPr>
          <w:rFonts w:ascii="仿宋_GB2312" w:hAnsi="仿宋_GB2312" w:eastAsia="仿宋_GB2312" w:cs="仿宋_GB2312"/>
          <w:sz w:val="24"/>
          <w:szCs w:val="24"/>
          <w:lang w:eastAsia="zh-CN"/>
        </w:rPr>
      </w:pPr>
    </w:p>
    <w:p w14:paraId="02168F5E">
      <w:pPr>
        <w:pStyle w:val="7"/>
        <w:ind w:firstLine="4320" w:firstLineChars="18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单位名称（盖章）：</w:t>
      </w:r>
    </w:p>
    <w:p w14:paraId="3D3B75AE">
      <w:pPr>
        <w:rPr>
          <w:lang w:eastAsia="zh-CN"/>
        </w:rPr>
      </w:pPr>
    </w:p>
    <w:p w14:paraId="42FA5395">
      <w:pPr>
        <w:pStyle w:val="7"/>
        <w:ind w:firstLine="4480" w:firstLineChars="20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8"/>
          <w:sz w:val="24"/>
          <w:szCs w:val="24"/>
          <w:lang w:eastAsia="zh-CN"/>
        </w:rPr>
        <w:t>日  期：</w:t>
      </w:r>
    </w:p>
    <w:p w14:paraId="01D7285C">
      <w:pPr>
        <w:jc w:val="center"/>
        <w:rPr>
          <w:rFonts w:ascii="仿宋" w:hAnsi="仿宋" w:eastAsia="仿宋"/>
          <w:b/>
          <w:bCs/>
          <w:sz w:val="28"/>
          <w:szCs w:val="28"/>
          <w:lang w:eastAsia="zh-CN"/>
        </w:rPr>
      </w:pPr>
    </w:p>
    <w:p w14:paraId="46206181">
      <w:pPr>
        <w:jc w:val="center"/>
        <w:rPr>
          <w:rFonts w:ascii="仿宋" w:hAnsi="仿宋" w:eastAsia="仿宋"/>
          <w:b/>
          <w:bCs/>
          <w:sz w:val="28"/>
          <w:szCs w:val="28"/>
          <w:lang w:eastAsia="zh-CN"/>
        </w:rPr>
      </w:pPr>
    </w:p>
    <w:p w14:paraId="36A8E557">
      <w:pPr>
        <w:jc w:val="center"/>
        <w:rPr>
          <w:rFonts w:ascii="仿宋" w:hAnsi="仿宋" w:eastAsia="仿宋"/>
          <w:b/>
          <w:bCs/>
          <w:sz w:val="28"/>
          <w:szCs w:val="28"/>
          <w:lang w:eastAsia="zh-CN"/>
        </w:rPr>
      </w:pPr>
      <w:r>
        <w:rPr>
          <w:rFonts w:hint="eastAsia" w:ascii="仿宋" w:hAnsi="仿宋" w:eastAsia="仿宋"/>
          <w:b/>
          <w:bCs/>
          <w:sz w:val="28"/>
          <w:szCs w:val="28"/>
          <w:lang w:eastAsia="zh-CN"/>
        </w:rPr>
        <w:t>十四、主要商务要求承诺书</w:t>
      </w:r>
    </w:p>
    <w:p w14:paraId="14D30D00">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p>
    <w:p w14:paraId="329B411C">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我公司承诺可以完全满足</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z w:val="24"/>
          <w:szCs w:val="24"/>
          <w:lang w:eastAsia="zh-CN"/>
        </w:rPr>
        <w:t>项目名称），项目编号：</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u w:val="single"/>
          <w:lang w:eastAsia="zh-CN"/>
        </w:rPr>
        <w:tab/>
      </w:r>
      <w:r>
        <w:rPr>
          <w:rFonts w:hint="eastAsia" w:ascii="仿宋_GB2312" w:hAnsi="仿宋_GB2312" w:eastAsia="仿宋_GB2312" w:cs="仿宋_GB2312"/>
          <w:sz w:val="24"/>
          <w:szCs w:val="24"/>
          <w:lang w:eastAsia="zh-CN"/>
        </w:rPr>
        <w:t>竞争性谈判通知书的所有主要商务条款要求，包括标的提供的时间、标的提供的地点、付款方式、验收要求、履约保证金等。若有不符合或未按承诺履行的，承担相应法律后果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lang w:eastAsia="zh-CN"/>
        </w:rPr>
        <w:t>。</w:t>
      </w:r>
      <w:r>
        <w:rPr>
          <w:rFonts w:hint="eastAsia" w:ascii="仿宋_GB2312" w:hAnsi="仿宋_GB2312" w:eastAsia="仿宋_GB2312" w:cs="仿宋_GB2312"/>
          <w:sz w:val="24"/>
          <w:szCs w:val="24"/>
          <w:lang w:eastAsia="zh-CN"/>
        </w:rPr>
        <w:t>如有优于竞争性谈判通知书主要商务要求的请在此承诺书中说明。具体优于内容 （如标的提供的时间、地点，质保期等） 。</w:t>
      </w:r>
    </w:p>
    <w:p w14:paraId="68FD522F">
      <w:pPr>
        <w:pStyle w:val="7"/>
        <w:tabs>
          <w:tab w:val="left" w:pos="3562"/>
          <w:tab w:val="left" w:pos="6707"/>
        </w:tabs>
        <w:spacing w:line="360" w:lineRule="auto"/>
        <w:ind w:firstLine="480"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特此承诺</w:t>
      </w:r>
    </w:p>
    <w:p w14:paraId="781F6410">
      <w:pPr>
        <w:pStyle w:val="7"/>
        <w:spacing w:line="360" w:lineRule="auto"/>
        <w:ind w:firstLine="5040" w:firstLineChars="2100"/>
        <w:jc w:val="both"/>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6B39B996">
      <w:pPr>
        <w:pStyle w:val="7"/>
        <w:tabs>
          <w:tab w:val="left" w:pos="432"/>
          <w:tab w:val="left" w:pos="864"/>
        </w:tabs>
        <w:spacing w:line="360" w:lineRule="auto"/>
        <w:ind w:firstLine="5520" w:firstLineChars="230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2B8E8ED5">
      <w:pPr>
        <w:spacing w:line="360" w:lineRule="auto"/>
        <w:ind w:firstLine="200"/>
        <w:jc w:val="both"/>
        <w:rPr>
          <w:rFonts w:ascii="仿宋_GB2312" w:hAnsi="仿宋_GB2312" w:eastAsia="仿宋_GB2312" w:cs="仿宋_GB2312"/>
          <w:sz w:val="24"/>
          <w:szCs w:val="24"/>
        </w:rPr>
        <w:sectPr>
          <w:pgSz w:w="11900" w:h="16840"/>
          <w:pgMar w:top="1587" w:right="1587" w:bottom="1587" w:left="1587" w:header="0" w:footer="93" w:gutter="0"/>
          <w:cols w:space="720" w:num="1"/>
        </w:sectPr>
      </w:pPr>
    </w:p>
    <w:p w14:paraId="160237F2">
      <w:pPr>
        <w:jc w:val="center"/>
        <w:rPr>
          <w:rFonts w:ascii="仿宋" w:hAnsi="仿宋" w:eastAsia="仿宋"/>
          <w:b/>
          <w:bCs/>
          <w:sz w:val="28"/>
          <w:szCs w:val="28"/>
          <w:lang w:eastAsia="zh-CN"/>
        </w:rPr>
      </w:pPr>
      <w:r>
        <w:rPr>
          <w:rFonts w:hint="eastAsia" w:ascii="仿宋" w:hAnsi="仿宋" w:eastAsia="仿宋"/>
          <w:b/>
          <w:bCs/>
          <w:sz w:val="28"/>
          <w:szCs w:val="28"/>
          <w:lang w:eastAsia="zh-CN"/>
        </w:rPr>
        <w:t>十五、技术响应</w:t>
      </w:r>
    </w:p>
    <w:p w14:paraId="0BD5812A">
      <w:pPr>
        <w:pStyle w:val="7"/>
        <w:spacing w:before="2"/>
        <w:rPr>
          <w:rFonts w:ascii="仿宋_GB2312" w:hAnsi="仿宋_GB2312" w:eastAsia="仿宋_GB2312" w:cs="仿宋_GB2312"/>
          <w:b/>
          <w:sz w:val="24"/>
          <w:szCs w:val="24"/>
        </w:rPr>
      </w:pPr>
    </w:p>
    <w:tbl>
      <w:tblPr>
        <w:tblStyle w:val="11"/>
        <w:tblW w:w="835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61"/>
        <w:gridCol w:w="1359"/>
        <w:gridCol w:w="1288"/>
        <w:gridCol w:w="1324"/>
        <w:gridCol w:w="1351"/>
        <w:gridCol w:w="1078"/>
        <w:gridCol w:w="791"/>
      </w:tblGrid>
      <w:tr w14:paraId="7B51B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tcPr>
          <w:p w14:paraId="22FF46A9">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359" w:type="dxa"/>
          </w:tcPr>
          <w:p w14:paraId="34AE8DC2">
            <w:pPr>
              <w:pStyle w:val="18"/>
              <w:spacing w:before="60"/>
              <w:ind w:left="94"/>
              <w:rPr>
                <w:rFonts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12" w:type="dxa"/>
            <w:gridSpan w:val="2"/>
          </w:tcPr>
          <w:p w14:paraId="7F4E5D28">
            <w:pPr>
              <w:pStyle w:val="18"/>
              <w:spacing w:before="60"/>
              <w:ind w:left="95"/>
              <w:rPr>
                <w:rFonts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51" w:type="dxa"/>
          </w:tcPr>
          <w:p w14:paraId="6F63F76E">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078" w:type="dxa"/>
          </w:tcPr>
          <w:p w14:paraId="4F7026DF">
            <w:pPr>
              <w:pStyle w:val="18"/>
              <w:spacing w:before="60"/>
              <w:ind w:left="96"/>
              <w:rPr>
                <w:rFonts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791" w:type="dxa"/>
          </w:tcPr>
          <w:p w14:paraId="3BA9D6A5">
            <w:pPr>
              <w:pStyle w:val="18"/>
              <w:spacing w:before="60"/>
              <w:ind w:left="97"/>
              <w:rPr>
                <w:rFonts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45FE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restart"/>
          </w:tcPr>
          <w:p w14:paraId="7EB76965">
            <w:pPr>
              <w:pStyle w:val="18"/>
              <w:rPr>
                <w:rFonts w:ascii="仿宋_GB2312" w:hAnsi="仿宋_GB2312" w:eastAsia="仿宋_GB2312" w:cs="仿宋_GB2312"/>
                <w:b/>
                <w:sz w:val="24"/>
                <w:szCs w:val="24"/>
              </w:rPr>
            </w:pPr>
          </w:p>
          <w:p w14:paraId="14524979">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59" w:type="dxa"/>
            <w:vMerge w:val="restart"/>
          </w:tcPr>
          <w:p w14:paraId="637C369C">
            <w:pPr>
              <w:pStyle w:val="18"/>
              <w:rPr>
                <w:rFonts w:ascii="仿宋_GB2312" w:hAnsi="仿宋_GB2312" w:eastAsia="仿宋_GB2312" w:cs="仿宋_GB2312"/>
                <w:sz w:val="24"/>
                <w:szCs w:val="24"/>
              </w:rPr>
            </w:pPr>
          </w:p>
        </w:tc>
        <w:tc>
          <w:tcPr>
            <w:tcW w:w="1288" w:type="dxa"/>
          </w:tcPr>
          <w:p w14:paraId="32DE80DF">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3C59EE5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51" w:type="dxa"/>
          </w:tcPr>
          <w:p w14:paraId="52C418B3">
            <w:pPr>
              <w:pStyle w:val="18"/>
              <w:rPr>
                <w:rFonts w:ascii="仿宋_GB2312" w:hAnsi="仿宋_GB2312" w:eastAsia="仿宋_GB2312" w:cs="仿宋_GB2312"/>
                <w:sz w:val="24"/>
                <w:szCs w:val="24"/>
              </w:rPr>
            </w:pPr>
          </w:p>
        </w:tc>
        <w:tc>
          <w:tcPr>
            <w:tcW w:w="1078" w:type="dxa"/>
          </w:tcPr>
          <w:p w14:paraId="3DFF2601">
            <w:pPr>
              <w:pStyle w:val="18"/>
              <w:rPr>
                <w:rFonts w:ascii="仿宋_GB2312" w:hAnsi="仿宋_GB2312" w:eastAsia="仿宋_GB2312" w:cs="仿宋_GB2312"/>
                <w:sz w:val="24"/>
                <w:szCs w:val="24"/>
              </w:rPr>
            </w:pPr>
          </w:p>
        </w:tc>
        <w:tc>
          <w:tcPr>
            <w:tcW w:w="791" w:type="dxa"/>
          </w:tcPr>
          <w:p w14:paraId="2816916F">
            <w:pPr>
              <w:pStyle w:val="18"/>
              <w:rPr>
                <w:rFonts w:ascii="仿宋_GB2312" w:hAnsi="仿宋_GB2312" w:eastAsia="仿宋_GB2312" w:cs="仿宋_GB2312"/>
                <w:sz w:val="24"/>
                <w:szCs w:val="24"/>
              </w:rPr>
            </w:pPr>
          </w:p>
        </w:tc>
      </w:tr>
      <w:tr w14:paraId="72CFC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0B1EF580">
            <w:pPr>
              <w:rPr>
                <w:rFonts w:ascii="仿宋_GB2312" w:hAnsi="仿宋_GB2312" w:eastAsia="仿宋_GB2312" w:cs="仿宋_GB2312"/>
                <w:sz w:val="24"/>
                <w:szCs w:val="24"/>
              </w:rPr>
            </w:pPr>
          </w:p>
        </w:tc>
        <w:tc>
          <w:tcPr>
            <w:tcW w:w="1359" w:type="dxa"/>
            <w:vMerge w:val="continue"/>
            <w:tcBorders>
              <w:top w:val="nil"/>
            </w:tcBorders>
          </w:tcPr>
          <w:p w14:paraId="05D87692">
            <w:pPr>
              <w:rPr>
                <w:rFonts w:ascii="仿宋_GB2312" w:hAnsi="仿宋_GB2312" w:eastAsia="仿宋_GB2312" w:cs="仿宋_GB2312"/>
                <w:sz w:val="24"/>
                <w:szCs w:val="24"/>
              </w:rPr>
            </w:pPr>
          </w:p>
        </w:tc>
        <w:tc>
          <w:tcPr>
            <w:tcW w:w="1288" w:type="dxa"/>
          </w:tcPr>
          <w:p w14:paraId="51962515">
            <w:pPr>
              <w:pStyle w:val="18"/>
              <w:rPr>
                <w:rFonts w:ascii="仿宋_GB2312" w:hAnsi="仿宋_GB2312" w:eastAsia="仿宋_GB2312" w:cs="仿宋_GB2312"/>
                <w:sz w:val="24"/>
                <w:szCs w:val="24"/>
              </w:rPr>
            </w:pPr>
          </w:p>
        </w:tc>
        <w:tc>
          <w:tcPr>
            <w:tcW w:w="1324" w:type="dxa"/>
          </w:tcPr>
          <w:p w14:paraId="3C36EB42">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51" w:type="dxa"/>
          </w:tcPr>
          <w:p w14:paraId="6DCCFDF7">
            <w:pPr>
              <w:pStyle w:val="18"/>
              <w:rPr>
                <w:rFonts w:ascii="仿宋_GB2312" w:hAnsi="仿宋_GB2312" w:eastAsia="仿宋_GB2312" w:cs="仿宋_GB2312"/>
                <w:sz w:val="24"/>
                <w:szCs w:val="24"/>
              </w:rPr>
            </w:pPr>
          </w:p>
        </w:tc>
        <w:tc>
          <w:tcPr>
            <w:tcW w:w="1078" w:type="dxa"/>
          </w:tcPr>
          <w:p w14:paraId="3F64AA72">
            <w:pPr>
              <w:pStyle w:val="18"/>
              <w:rPr>
                <w:rFonts w:ascii="仿宋_GB2312" w:hAnsi="仿宋_GB2312" w:eastAsia="仿宋_GB2312" w:cs="仿宋_GB2312"/>
                <w:sz w:val="24"/>
                <w:szCs w:val="24"/>
              </w:rPr>
            </w:pPr>
          </w:p>
        </w:tc>
        <w:tc>
          <w:tcPr>
            <w:tcW w:w="791" w:type="dxa"/>
          </w:tcPr>
          <w:p w14:paraId="10E7A90A">
            <w:pPr>
              <w:pStyle w:val="18"/>
              <w:rPr>
                <w:rFonts w:ascii="仿宋_GB2312" w:hAnsi="仿宋_GB2312" w:eastAsia="仿宋_GB2312" w:cs="仿宋_GB2312"/>
                <w:sz w:val="24"/>
                <w:szCs w:val="24"/>
              </w:rPr>
            </w:pPr>
          </w:p>
        </w:tc>
      </w:tr>
      <w:tr w14:paraId="05380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1161" w:type="dxa"/>
            <w:vMerge w:val="continue"/>
            <w:tcBorders>
              <w:top w:val="nil"/>
            </w:tcBorders>
          </w:tcPr>
          <w:p w14:paraId="13E7B285">
            <w:pPr>
              <w:rPr>
                <w:rFonts w:ascii="仿宋_GB2312" w:hAnsi="仿宋_GB2312" w:eastAsia="仿宋_GB2312" w:cs="仿宋_GB2312"/>
                <w:sz w:val="24"/>
                <w:szCs w:val="24"/>
              </w:rPr>
            </w:pPr>
          </w:p>
        </w:tc>
        <w:tc>
          <w:tcPr>
            <w:tcW w:w="1359" w:type="dxa"/>
            <w:vMerge w:val="continue"/>
            <w:tcBorders>
              <w:top w:val="nil"/>
            </w:tcBorders>
          </w:tcPr>
          <w:p w14:paraId="723CE710">
            <w:pPr>
              <w:rPr>
                <w:rFonts w:ascii="仿宋_GB2312" w:hAnsi="仿宋_GB2312" w:eastAsia="仿宋_GB2312" w:cs="仿宋_GB2312"/>
                <w:sz w:val="24"/>
                <w:szCs w:val="24"/>
              </w:rPr>
            </w:pPr>
          </w:p>
        </w:tc>
        <w:tc>
          <w:tcPr>
            <w:tcW w:w="1288" w:type="dxa"/>
          </w:tcPr>
          <w:p w14:paraId="08ED7EB0">
            <w:pPr>
              <w:pStyle w:val="18"/>
              <w:rPr>
                <w:rFonts w:ascii="仿宋_GB2312" w:hAnsi="仿宋_GB2312" w:eastAsia="仿宋_GB2312" w:cs="仿宋_GB2312"/>
                <w:sz w:val="24"/>
                <w:szCs w:val="24"/>
              </w:rPr>
            </w:pPr>
          </w:p>
        </w:tc>
        <w:tc>
          <w:tcPr>
            <w:tcW w:w="1324" w:type="dxa"/>
          </w:tcPr>
          <w:p w14:paraId="1DD415FD">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Pr>
          <w:p w14:paraId="6D7524B9">
            <w:pPr>
              <w:pStyle w:val="18"/>
              <w:rPr>
                <w:rFonts w:ascii="仿宋_GB2312" w:hAnsi="仿宋_GB2312" w:eastAsia="仿宋_GB2312" w:cs="仿宋_GB2312"/>
                <w:sz w:val="24"/>
                <w:szCs w:val="24"/>
              </w:rPr>
            </w:pPr>
          </w:p>
        </w:tc>
        <w:tc>
          <w:tcPr>
            <w:tcW w:w="1078" w:type="dxa"/>
          </w:tcPr>
          <w:p w14:paraId="3375F23A">
            <w:pPr>
              <w:pStyle w:val="18"/>
              <w:rPr>
                <w:rFonts w:ascii="仿宋_GB2312" w:hAnsi="仿宋_GB2312" w:eastAsia="仿宋_GB2312" w:cs="仿宋_GB2312"/>
                <w:sz w:val="24"/>
                <w:szCs w:val="24"/>
              </w:rPr>
            </w:pPr>
          </w:p>
        </w:tc>
        <w:tc>
          <w:tcPr>
            <w:tcW w:w="791" w:type="dxa"/>
          </w:tcPr>
          <w:p w14:paraId="37D40BE3">
            <w:pPr>
              <w:pStyle w:val="18"/>
              <w:rPr>
                <w:rFonts w:ascii="仿宋_GB2312" w:hAnsi="仿宋_GB2312" w:eastAsia="仿宋_GB2312" w:cs="仿宋_GB2312"/>
                <w:sz w:val="24"/>
                <w:szCs w:val="24"/>
              </w:rPr>
            </w:pPr>
          </w:p>
        </w:tc>
      </w:tr>
      <w:tr w14:paraId="45019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0" w:hRule="atLeast"/>
        </w:trPr>
        <w:tc>
          <w:tcPr>
            <w:tcW w:w="1161" w:type="dxa"/>
            <w:vMerge w:val="restart"/>
            <w:tcBorders>
              <w:bottom w:val="single" w:color="000000" w:sz="12" w:space="0"/>
            </w:tcBorders>
          </w:tcPr>
          <w:p w14:paraId="0595C9A0">
            <w:pPr>
              <w:pStyle w:val="18"/>
              <w:rPr>
                <w:rFonts w:ascii="仿宋_GB2312" w:hAnsi="仿宋_GB2312" w:eastAsia="仿宋_GB2312" w:cs="仿宋_GB2312"/>
                <w:b/>
                <w:sz w:val="24"/>
                <w:szCs w:val="24"/>
              </w:rPr>
            </w:pPr>
          </w:p>
          <w:p w14:paraId="22F7CF45">
            <w:pPr>
              <w:pStyle w:val="18"/>
              <w:spacing w:before="175"/>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59" w:type="dxa"/>
            <w:vMerge w:val="restart"/>
            <w:tcBorders>
              <w:bottom w:val="single" w:color="000000" w:sz="12" w:space="0"/>
            </w:tcBorders>
          </w:tcPr>
          <w:p w14:paraId="2DA6EC7C">
            <w:pPr>
              <w:pStyle w:val="18"/>
              <w:rPr>
                <w:rFonts w:ascii="仿宋_GB2312" w:hAnsi="仿宋_GB2312" w:eastAsia="仿宋_GB2312" w:cs="仿宋_GB2312"/>
                <w:sz w:val="24"/>
                <w:szCs w:val="24"/>
              </w:rPr>
            </w:pPr>
          </w:p>
        </w:tc>
        <w:tc>
          <w:tcPr>
            <w:tcW w:w="1288" w:type="dxa"/>
          </w:tcPr>
          <w:p w14:paraId="0B88E5F6">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24" w:type="dxa"/>
          </w:tcPr>
          <w:p w14:paraId="216AF265">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51" w:type="dxa"/>
          </w:tcPr>
          <w:p w14:paraId="4D7BAB34">
            <w:pPr>
              <w:pStyle w:val="18"/>
              <w:rPr>
                <w:rFonts w:ascii="仿宋_GB2312" w:hAnsi="仿宋_GB2312" w:eastAsia="仿宋_GB2312" w:cs="仿宋_GB2312"/>
                <w:sz w:val="24"/>
                <w:szCs w:val="24"/>
              </w:rPr>
            </w:pPr>
          </w:p>
        </w:tc>
        <w:tc>
          <w:tcPr>
            <w:tcW w:w="1078" w:type="dxa"/>
          </w:tcPr>
          <w:p w14:paraId="139DFFA6">
            <w:pPr>
              <w:pStyle w:val="18"/>
              <w:rPr>
                <w:rFonts w:ascii="仿宋_GB2312" w:hAnsi="仿宋_GB2312" w:eastAsia="仿宋_GB2312" w:cs="仿宋_GB2312"/>
                <w:sz w:val="24"/>
                <w:szCs w:val="24"/>
              </w:rPr>
            </w:pPr>
          </w:p>
        </w:tc>
        <w:tc>
          <w:tcPr>
            <w:tcW w:w="791" w:type="dxa"/>
          </w:tcPr>
          <w:p w14:paraId="50AE4CE4">
            <w:pPr>
              <w:pStyle w:val="18"/>
              <w:rPr>
                <w:rFonts w:ascii="仿宋_GB2312" w:hAnsi="仿宋_GB2312" w:eastAsia="仿宋_GB2312" w:cs="仿宋_GB2312"/>
                <w:sz w:val="24"/>
                <w:szCs w:val="24"/>
              </w:rPr>
            </w:pPr>
          </w:p>
        </w:tc>
      </w:tr>
      <w:tr w14:paraId="6BE9C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0" w:hRule="atLeast"/>
        </w:trPr>
        <w:tc>
          <w:tcPr>
            <w:tcW w:w="1161" w:type="dxa"/>
            <w:vMerge w:val="continue"/>
            <w:tcBorders>
              <w:top w:val="nil"/>
              <w:bottom w:val="single" w:color="000000" w:sz="12" w:space="0"/>
            </w:tcBorders>
          </w:tcPr>
          <w:p w14:paraId="3A45B9A9">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77765382">
            <w:pPr>
              <w:rPr>
                <w:rFonts w:ascii="仿宋_GB2312" w:hAnsi="仿宋_GB2312" w:eastAsia="仿宋_GB2312" w:cs="仿宋_GB2312"/>
                <w:sz w:val="24"/>
                <w:szCs w:val="24"/>
              </w:rPr>
            </w:pPr>
          </w:p>
        </w:tc>
        <w:tc>
          <w:tcPr>
            <w:tcW w:w="1288" w:type="dxa"/>
          </w:tcPr>
          <w:p w14:paraId="5F4704B7">
            <w:pPr>
              <w:pStyle w:val="18"/>
              <w:rPr>
                <w:rFonts w:ascii="仿宋_GB2312" w:hAnsi="仿宋_GB2312" w:eastAsia="仿宋_GB2312" w:cs="仿宋_GB2312"/>
                <w:sz w:val="24"/>
                <w:szCs w:val="24"/>
              </w:rPr>
            </w:pPr>
          </w:p>
        </w:tc>
        <w:tc>
          <w:tcPr>
            <w:tcW w:w="1324" w:type="dxa"/>
          </w:tcPr>
          <w:p w14:paraId="75ABB45B">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51" w:type="dxa"/>
          </w:tcPr>
          <w:p w14:paraId="0C451216">
            <w:pPr>
              <w:pStyle w:val="18"/>
              <w:rPr>
                <w:rFonts w:ascii="仿宋_GB2312" w:hAnsi="仿宋_GB2312" w:eastAsia="仿宋_GB2312" w:cs="仿宋_GB2312"/>
                <w:sz w:val="24"/>
                <w:szCs w:val="24"/>
              </w:rPr>
            </w:pPr>
          </w:p>
        </w:tc>
        <w:tc>
          <w:tcPr>
            <w:tcW w:w="1078" w:type="dxa"/>
          </w:tcPr>
          <w:p w14:paraId="00031671">
            <w:pPr>
              <w:pStyle w:val="18"/>
              <w:rPr>
                <w:rFonts w:ascii="仿宋_GB2312" w:hAnsi="仿宋_GB2312" w:eastAsia="仿宋_GB2312" w:cs="仿宋_GB2312"/>
                <w:sz w:val="24"/>
                <w:szCs w:val="24"/>
              </w:rPr>
            </w:pPr>
          </w:p>
        </w:tc>
        <w:tc>
          <w:tcPr>
            <w:tcW w:w="791" w:type="dxa"/>
          </w:tcPr>
          <w:p w14:paraId="71A9107F">
            <w:pPr>
              <w:pStyle w:val="18"/>
              <w:rPr>
                <w:rFonts w:ascii="仿宋_GB2312" w:hAnsi="仿宋_GB2312" w:eastAsia="仿宋_GB2312" w:cs="仿宋_GB2312"/>
                <w:sz w:val="24"/>
                <w:szCs w:val="24"/>
              </w:rPr>
            </w:pPr>
          </w:p>
        </w:tc>
      </w:tr>
      <w:tr w14:paraId="687B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1161" w:type="dxa"/>
            <w:vMerge w:val="continue"/>
            <w:tcBorders>
              <w:top w:val="nil"/>
              <w:bottom w:val="single" w:color="000000" w:sz="12" w:space="0"/>
            </w:tcBorders>
          </w:tcPr>
          <w:p w14:paraId="32CA3696">
            <w:pPr>
              <w:rPr>
                <w:rFonts w:ascii="仿宋_GB2312" w:hAnsi="仿宋_GB2312" w:eastAsia="仿宋_GB2312" w:cs="仿宋_GB2312"/>
                <w:sz w:val="24"/>
                <w:szCs w:val="24"/>
              </w:rPr>
            </w:pPr>
          </w:p>
        </w:tc>
        <w:tc>
          <w:tcPr>
            <w:tcW w:w="1359" w:type="dxa"/>
            <w:vMerge w:val="continue"/>
            <w:tcBorders>
              <w:top w:val="nil"/>
              <w:bottom w:val="single" w:color="000000" w:sz="12" w:space="0"/>
            </w:tcBorders>
          </w:tcPr>
          <w:p w14:paraId="2208EF8C">
            <w:pPr>
              <w:rPr>
                <w:rFonts w:ascii="仿宋_GB2312" w:hAnsi="仿宋_GB2312" w:eastAsia="仿宋_GB2312" w:cs="仿宋_GB2312"/>
                <w:sz w:val="24"/>
                <w:szCs w:val="24"/>
              </w:rPr>
            </w:pPr>
          </w:p>
        </w:tc>
        <w:tc>
          <w:tcPr>
            <w:tcW w:w="1288" w:type="dxa"/>
            <w:tcBorders>
              <w:bottom w:val="single" w:color="000000" w:sz="12" w:space="0"/>
            </w:tcBorders>
          </w:tcPr>
          <w:p w14:paraId="40459111">
            <w:pPr>
              <w:pStyle w:val="18"/>
              <w:rPr>
                <w:rFonts w:ascii="仿宋_GB2312" w:hAnsi="仿宋_GB2312" w:eastAsia="仿宋_GB2312" w:cs="仿宋_GB2312"/>
                <w:sz w:val="24"/>
                <w:szCs w:val="24"/>
              </w:rPr>
            </w:pPr>
          </w:p>
        </w:tc>
        <w:tc>
          <w:tcPr>
            <w:tcW w:w="1324" w:type="dxa"/>
            <w:tcBorders>
              <w:bottom w:val="single" w:color="000000" w:sz="12" w:space="0"/>
            </w:tcBorders>
          </w:tcPr>
          <w:p w14:paraId="775D1762">
            <w:pPr>
              <w:pStyle w:val="18"/>
              <w:spacing w:before="53"/>
              <w:ind w:left="101"/>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51" w:type="dxa"/>
            <w:tcBorders>
              <w:bottom w:val="single" w:color="000000" w:sz="12" w:space="0"/>
            </w:tcBorders>
          </w:tcPr>
          <w:p w14:paraId="058866A8">
            <w:pPr>
              <w:pStyle w:val="18"/>
              <w:rPr>
                <w:rFonts w:ascii="仿宋_GB2312" w:hAnsi="仿宋_GB2312" w:eastAsia="仿宋_GB2312" w:cs="仿宋_GB2312"/>
                <w:sz w:val="24"/>
                <w:szCs w:val="24"/>
              </w:rPr>
            </w:pPr>
          </w:p>
        </w:tc>
        <w:tc>
          <w:tcPr>
            <w:tcW w:w="1078" w:type="dxa"/>
            <w:tcBorders>
              <w:bottom w:val="single" w:color="000000" w:sz="12" w:space="0"/>
            </w:tcBorders>
          </w:tcPr>
          <w:p w14:paraId="1012FD5D">
            <w:pPr>
              <w:pStyle w:val="18"/>
              <w:rPr>
                <w:rFonts w:ascii="仿宋_GB2312" w:hAnsi="仿宋_GB2312" w:eastAsia="仿宋_GB2312" w:cs="仿宋_GB2312"/>
                <w:sz w:val="24"/>
                <w:szCs w:val="24"/>
              </w:rPr>
            </w:pPr>
          </w:p>
        </w:tc>
        <w:tc>
          <w:tcPr>
            <w:tcW w:w="791" w:type="dxa"/>
            <w:tcBorders>
              <w:bottom w:val="single" w:color="000000" w:sz="12" w:space="0"/>
            </w:tcBorders>
          </w:tcPr>
          <w:p w14:paraId="3F9B2104">
            <w:pPr>
              <w:pStyle w:val="18"/>
              <w:rPr>
                <w:rFonts w:ascii="仿宋_GB2312" w:hAnsi="仿宋_GB2312" w:eastAsia="仿宋_GB2312" w:cs="仿宋_GB2312"/>
                <w:sz w:val="24"/>
                <w:szCs w:val="24"/>
              </w:rPr>
            </w:pPr>
          </w:p>
        </w:tc>
      </w:tr>
    </w:tbl>
    <w:p w14:paraId="460EA383">
      <w:pPr>
        <w:pStyle w:val="7"/>
        <w:spacing w:line="360" w:lineRule="auto"/>
        <w:ind w:firstLine="480" w:firstLineChars="200"/>
        <w:jc w:val="both"/>
        <w:rPr>
          <w:rFonts w:ascii="仿宋_GB2312" w:hAnsi="仿宋_GB2312" w:eastAsia="仿宋_GB2312" w:cs="仿宋_GB2312"/>
          <w:sz w:val="24"/>
          <w:szCs w:val="24"/>
        </w:rPr>
      </w:pPr>
    </w:p>
    <w:p w14:paraId="3B1B9D1B">
      <w:pPr>
        <w:pStyle w:val="7"/>
        <w:spacing w:line="360" w:lineRule="auto"/>
        <w:ind w:firstLine="480" w:firstLineChars="200"/>
        <w:jc w:val="both"/>
        <w:rPr>
          <w:rFonts w:ascii="仿宋_GB2312" w:hAnsi="仿宋_GB2312" w:eastAsia="仿宋_GB2312" w:cs="仿宋_GB2312"/>
          <w:sz w:val="24"/>
          <w:szCs w:val="24"/>
        </w:rPr>
      </w:pPr>
    </w:p>
    <w:p w14:paraId="441CD250">
      <w:pPr>
        <w:pStyle w:val="7"/>
        <w:spacing w:line="360" w:lineRule="auto"/>
        <w:ind w:firstLine="560" w:firstLineChars="200"/>
        <w:jc w:val="both"/>
        <w:rPr>
          <w:rFonts w:ascii="黑体" w:hAnsi="黑体" w:eastAsia="黑体" w:cs="仿宋_GB2312"/>
          <w:sz w:val="28"/>
          <w:szCs w:val="28"/>
        </w:rPr>
      </w:pPr>
      <w:r>
        <w:rPr>
          <w:rFonts w:hint="eastAsia" w:ascii="黑体" w:hAnsi="黑体" w:eastAsia="黑体" w:cs="仿宋_GB2312"/>
          <w:sz w:val="28"/>
          <w:szCs w:val="28"/>
        </w:rPr>
        <w:t>说明：</w:t>
      </w:r>
    </w:p>
    <w:p w14:paraId="472F056E">
      <w:pPr>
        <w:tabs>
          <w:tab w:val="left" w:pos="673"/>
        </w:tabs>
        <w:spacing w:line="360" w:lineRule="auto"/>
        <w:ind w:firstLine="464" w:firstLineChars="200"/>
        <w:jc w:val="both"/>
        <w:rPr>
          <w:rFonts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lang w:eastAsia="zh-CN"/>
        </w:rPr>
        <w:t>1.“</w:t>
      </w:r>
      <w:r>
        <w:rPr>
          <w:rFonts w:hint="eastAsia" w:ascii="仿宋_GB2312" w:hAnsi="仿宋_GB2312" w:eastAsia="仿宋_GB2312" w:cs="仿宋_GB2312"/>
          <w:sz w:val="24"/>
          <w:szCs w:val="24"/>
          <w:lang w:eastAsia="zh-CN"/>
        </w:rPr>
        <w:t>技术要求</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z w:val="24"/>
          <w:szCs w:val="24"/>
          <w:lang w:eastAsia="zh-CN"/>
        </w:rPr>
        <w:t>栏应详细列明竞争性谈判通知书中的技术要求。</w:t>
      </w:r>
    </w:p>
    <w:p w14:paraId="691CC2D8">
      <w:pPr>
        <w:tabs>
          <w:tab w:val="left" w:pos="731"/>
        </w:tabs>
        <w:spacing w:line="360" w:lineRule="auto"/>
        <w:ind w:firstLine="464"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4"/>
          <w:sz w:val="24"/>
          <w:szCs w:val="24"/>
          <w:lang w:eastAsia="zh-CN"/>
        </w:rPr>
        <w:t>2.“</w:t>
      </w:r>
      <w:r>
        <w:rPr>
          <w:rFonts w:hint="eastAsia" w:ascii="仿宋_GB2312" w:hAnsi="仿宋_GB2312" w:eastAsia="仿宋_GB2312" w:cs="仿宋_GB2312"/>
          <w:sz w:val="24"/>
          <w:szCs w:val="24"/>
          <w:lang w:eastAsia="zh-CN"/>
        </w:rPr>
        <w:t>响应内容</w:t>
      </w:r>
      <w:r>
        <w:rPr>
          <w:rFonts w:hint="eastAsia" w:ascii="仿宋_GB2312" w:hAnsi="仿宋_GB2312" w:eastAsia="仿宋_GB2312" w:cs="仿宋_GB2312"/>
          <w:spacing w:val="-4"/>
          <w:sz w:val="24"/>
          <w:szCs w:val="24"/>
          <w:lang w:eastAsia="zh-CN"/>
        </w:rPr>
        <w:t>”</w:t>
      </w:r>
      <w:r>
        <w:rPr>
          <w:rFonts w:hint="eastAsia" w:ascii="仿宋_GB2312" w:hAnsi="仿宋_GB2312" w:eastAsia="仿宋_GB2312" w:cs="仿宋_GB2312"/>
          <w:spacing w:val="-1"/>
          <w:sz w:val="24"/>
          <w:szCs w:val="24"/>
          <w:lang w:eastAsia="zh-CN"/>
        </w:rPr>
        <w:t>栏填写供应商对竞争性谈判通知书提出的技术要求作出的明确响应，并列明具体响应数值或内容，只注明“符合”“相应”“满足”等字样无具体相应数值或实质具体内容表述的，将视为未实质性满足文件要求。</w:t>
      </w:r>
    </w:p>
    <w:p w14:paraId="6C5BDB64">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3</w:t>
      </w:r>
      <w:r>
        <w:rPr>
          <w:rFonts w:ascii="仿宋_GB2312" w:hAnsi="仿宋_GB2312" w:eastAsia="仿宋_GB2312" w:cs="仿宋_GB2312"/>
          <w:spacing w:val="-1"/>
          <w:sz w:val="24"/>
          <w:szCs w:val="24"/>
          <w:lang w:eastAsia="zh-CN"/>
        </w:rPr>
        <w:t xml:space="preserve">. </w:t>
      </w:r>
      <w:r>
        <w:rPr>
          <w:rFonts w:hint="eastAsia" w:ascii="仿宋_GB2312" w:hAnsi="仿宋_GB2312" w:eastAsia="仿宋_GB2312" w:cs="仿宋_GB2312"/>
          <w:sz w:val="24"/>
          <w:szCs w:val="24"/>
          <w:lang w:eastAsia="zh-CN"/>
        </w:rPr>
        <w:t>响应内容的填写</w:t>
      </w:r>
      <w:r>
        <w:rPr>
          <w:rFonts w:hint="eastAsia" w:ascii="仿宋_GB2312" w:hAnsi="仿宋_GB2312" w:eastAsia="仿宋_GB2312" w:cs="仿宋_GB2312"/>
          <w:b/>
          <w:bCs/>
          <w:spacing w:val="-1"/>
          <w:sz w:val="24"/>
          <w:szCs w:val="24"/>
          <w:lang w:eastAsia="zh-CN"/>
        </w:rPr>
        <w:t>不得直接复制“技术要求”原文</w:t>
      </w:r>
      <w:r>
        <w:rPr>
          <w:rFonts w:hint="eastAsia" w:ascii="仿宋_GB2312" w:hAnsi="仿宋_GB2312" w:eastAsia="仿宋_GB2312" w:cs="仿宋_GB2312"/>
          <w:spacing w:val="-1"/>
          <w:sz w:val="24"/>
          <w:szCs w:val="24"/>
          <w:lang w:eastAsia="zh-CN"/>
        </w:rPr>
        <w:t>。否则视为不满足、负偏离</w:t>
      </w:r>
    </w:p>
    <w:p w14:paraId="2C68BFB5">
      <w:pPr>
        <w:tabs>
          <w:tab w:val="left" w:pos="731"/>
        </w:tabs>
        <w:spacing w:line="360" w:lineRule="auto"/>
        <w:ind w:firstLine="476" w:firstLineChars="200"/>
        <w:jc w:val="both"/>
        <w:rPr>
          <w:rFonts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4</w:t>
      </w:r>
      <w:r>
        <w:rPr>
          <w:rFonts w:ascii="仿宋_GB2312" w:hAnsi="仿宋_GB2312" w:eastAsia="仿宋_GB2312" w:cs="仿宋_GB2312"/>
          <w:spacing w:val="-1"/>
          <w:sz w:val="24"/>
          <w:szCs w:val="24"/>
          <w:lang w:eastAsia="zh-CN"/>
        </w:rPr>
        <w:t>. “偏离程度"栏填写满足、响应或正偏离、负偏离。</w:t>
      </w:r>
    </w:p>
    <w:p w14:paraId="4C066195">
      <w:pPr>
        <w:tabs>
          <w:tab w:val="left" w:pos="731"/>
        </w:tabs>
        <w:spacing w:line="360" w:lineRule="auto"/>
        <w:ind w:firstLine="480" w:firstLineChars="200"/>
        <w:jc w:val="both"/>
        <w:rPr>
          <w:rFonts w:ascii="仿宋_GB2312" w:hAnsi="仿宋_GB2312" w:eastAsia="仿宋_GB2312" w:cs="仿宋_GB2312"/>
          <w:sz w:val="24"/>
          <w:szCs w:val="24"/>
          <w:lang w:eastAsia="zh-CN"/>
        </w:rPr>
      </w:pPr>
      <w:r>
        <w:rPr>
          <w:rFonts w:ascii="仿宋_GB2312" w:hAnsi="仿宋_GB2312" w:eastAsia="仿宋_GB2312" w:cs="仿宋_GB2312"/>
          <w:sz w:val="24"/>
          <w:szCs w:val="24"/>
          <w:lang w:eastAsia="zh-CN"/>
        </w:rPr>
        <w:t>5. “备注”栏可填写偏离情况的具体说明。</w:t>
      </w:r>
    </w:p>
    <w:p w14:paraId="64830330">
      <w:pPr>
        <w:tabs>
          <w:tab w:val="left" w:pos="731"/>
        </w:tabs>
        <w:spacing w:line="360" w:lineRule="auto"/>
        <w:ind w:firstLine="480" w:firstLineChars="2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w:t>
      </w:r>
      <w:r>
        <w:rPr>
          <w:rFonts w:ascii="仿宋_GB2312" w:hAnsi="仿宋_GB2312" w:eastAsia="仿宋_GB2312" w:cs="仿宋_GB2312"/>
          <w:sz w:val="24"/>
          <w:szCs w:val="24"/>
          <w:lang w:eastAsia="zh-CN"/>
        </w:rPr>
        <w:t xml:space="preserve">. </w:t>
      </w:r>
      <w:r>
        <w:rPr>
          <w:rFonts w:hint="eastAsia" w:ascii="仿宋_GB2312" w:hAnsi="仿宋_GB2312" w:eastAsia="仿宋_GB2312" w:cs="仿宋_GB2312"/>
          <w:sz w:val="24"/>
          <w:szCs w:val="24"/>
          <w:lang w:eastAsia="zh-CN"/>
        </w:rPr>
        <w:t>所有证明材料应</w:t>
      </w:r>
    </w:p>
    <w:p w14:paraId="2887A424">
      <w:pPr>
        <w:pStyle w:val="22"/>
      </w:pPr>
    </w:p>
    <w:p w14:paraId="0F23627F">
      <w:pPr>
        <w:widowControl/>
        <w:autoSpaceDE/>
        <w:autoSpaceDN/>
        <w:rPr>
          <w:rFonts w:ascii="黑体" w:hAnsi="黑体" w:eastAsia="仿宋" w:cs="黑体"/>
          <w:b/>
          <w:bCs/>
          <w:sz w:val="28"/>
          <w:szCs w:val="24"/>
          <w:lang w:eastAsia="zh-CN"/>
        </w:rPr>
      </w:pPr>
      <w:r>
        <w:rPr>
          <w:rFonts w:hint="eastAsia"/>
          <w:lang w:eastAsia="zh-CN"/>
        </w:rPr>
        <w:br w:type="page"/>
      </w:r>
    </w:p>
    <w:p w14:paraId="675C1412">
      <w:pPr>
        <w:pStyle w:val="22"/>
      </w:pPr>
      <w:r>
        <w:rPr>
          <w:rFonts w:hint="eastAsia"/>
        </w:rPr>
        <w:t>（以下格式文件由供应商根据需要选用）</w:t>
      </w:r>
    </w:p>
    <w:p w14:paraId="552DA4B1">
      <w:pPr>
        <w:pStyle w:val="7"/>
        <w:spacing w:before="5"/>
        <w:rPr>
          <w:rFonts w:ascii="仿宋_GB2312" w:hAnsi="仿宋_GB2312" w:eastAsia="仿宋_GB2312" w:cs="仿宋_GB2312"/>
          <w:sz w:val="24"/>
          <w:szCs w:val="24"/>
          <w:lang w:eastAsia="zh-CN"/>
        </w:rPr>
      </w:pPr>
    </w:p>
    <w:p w14:paraId="1ACBF30E">
      <w:pPr>
        <w:jc w:val="center"/>
        <w:rPr>
          <w:rFonts w:ascii="仿宋" w:hAnsi="仿宋" w:eastAsia="仿宋"/>
          <w:b/>
          <w:bCs/>
          <w:sz w:val="28"/>
          <w:szCs w:val="28"/>
          <w:lang w:eastAsia="zh-CN"/>
        </w:rPr>
      </w:pPr>
      <w:r>
        <w:rPr>
          <w:rFonts w:hint="eastAsia" w:ascii="仿宋" w:hAnsi="仿宋" w:eastAsia="仿宋"/>
          <w:b/>
          <w:bCs/>
          <w:sz w:val="28"/>
          <w:szCs w:val="28"/>
          <w:lang w:eastAsia="zh-CN"/>
        </w:rPr>
        <w:t>十六、项目实施方案、质量保证及售后服务承诺等</w:t>
      </w:r>
    </w:p>
    <w:p w14:paraId="0CEB80BD">
      <w:pPr>
        <w:pStyle w:val="7"/>
        <w:spacing w:before="111"/>
        <w:ind w:left="622" w:right="243"/>
        <w:jc w:val="center"/>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（内容和格式自拟）</w:t>
      </w:r>
    </w:p>
    <w:p w14:paraId="26D7BBF7">
      <w:pPr>
        <w:jc w:val="center"/>
        <w:rPr>
          <w:rFonts w:ascii="仿宋" w:hAnsi="仿宋" w:eastAsia="仿宋"/>
          <w:b/>
          <w:bCs/>
          <w:sz w:val="28"/>
          <w:szCs w:val="28"/>
          <w:lang w:eastAsia="zh-CN"/>
        </w:rPr>
      </w:pPr>
    </w:p>
    <w:p w14:paraId="639AB789">
      <w:pPr>
        <w:jc w:val="center"/>
        <w:rPr>
          <w:rFonts w:ascii="仿宋" w:hAnsi="仿宋" w:eastAsia="仿宋"/>
          <w:b/>
          <w:bCs/>
          <w:sz w:val="28"/>
          <w:szCs w:val="28"/>
          <w:lang w:eastAsia="zh-CN"/>
        </w:rPr>
      </w:pPr>
    </w:p>
    <w:p w14:paraId="49F2BDE7">
      <w:pPr>
        <w:jc w:val="center"/>
        <w:rPr>
          <w:rFonts w:ascii="仿宋" w:hAnsi="仿宋" w:eastAsia="仿宋"/>
          <w:b/>
          <w:bCs/>
          <w:sz w:val="28"/>
          <w:szCs w:val="28"/>
          <w:lang w:eastAsia="zh-CN"/>
        </w:rPr>
      </w:pPr>
    </w:p>
    <w:p w14:paraId="3CE744DC">
      <w:pPr>
        <w:jc w:val="center"/>
        <w:rPr>
          <w:rFonts w:ascii="仿宋" w:hAnsi="仿宋" w:eastAsia="仿宋"/>
          <w:b/>
          <w:bCs/>
          <w:sz w:val="28"/>
          <w:szCs w:val="28"/>
          <w:lang w:eastAsia="zh-CN"/>
        </w:rPr>
      </w:pPr>
    </w:p>
    <w:p w14:paraId="266D64A0">
      <w:pPr>
        <w:jc w:val="center"/>
        <w:rPr>
          <w:rFonts w:ascii="仿宋" w:hAnsi="仿宋" w:eastAsia="仿宋"/>
          <w:b/>
          <w:bCs/>
          <w:sz w:val="28"/>
          <w:szCs w:val="28"/>
          <w:lang w:eastAsia="zh-CN"/>
        </w:rPr>
      </w:pPr>
    </w:p>
    <w:p w14:paraId="4FD86154">
      <w:pPr>
        <w:jc w:val="center"/>
        <w:rPr>
          <w:rFonts w:ascii="仿宋" w:hAnsi="仿宋" w:eastAsia="仿宋"/>
          <w:b/>
          <w:bCs/>
          <w:sz w:val="28"/>
          <w:szCs w:val="28"/>
          <w:lang w:eastAsia="zh-CN"/>
        </w:rPr>
      </w:pPr>
    </w:p>
    <w:p w14:paraId="38E91F08">
      <w:pPr>
        <w:jc w:val="center"/>
        <w:rPr>
          <w:rFonts w:ascii="仿宋" w:hAnsi="仿宋" w:eastAsia="仿宋"/>
          <w:b/>
          <w:bCs/>
          <w:sz w:val="28"/>
          <w:szCs w:val="28"/>
          <w:lang w:eastAsia="zh-CN"/>
        </w:rPr>
      </w:pPr>
      <w:r>
        <w:rPr>
          <w:rFonts w:hint="eastAsia" w:ascii="仿宋" w:hAnsi="仿宋" w:eastAsia="仿宋"/>
          <w:b/>
          <w:bCs/>
          <w:sz w:val="28"/>
          <w:szCs w:val="28"/>
          <w:lang w:eastAsia="zh-CN"/>
        </w:rPr>
        <w:t>十七、供应商业绩情况表</w:t>
      </w:r>
    </w:p>
    <w:p w14:paraId="7EDE4129">
      <w:pPr>
        <w:pStyle w:val="7"/>
        <w:spacing w:before="2"/>
        <w:rPr>
          <w:rFonts w:ascii="仿宋_GB2312" w:hAnsi="仿宋_GB2312" w:eastAsia="仿宋_GB2312" w:cs="仿宋_GB2312"/>
          <w:b/>
          <w:sz w:val="24"/>
          <w:szCs w:val="24"/>
          <w:lang w:eastAsia="zh-CN"/>
        </w:rPr>
      </w:pPr>
    </w:p>
    <w:tbl>
      <w:tblPr>
        <w:tblStyle w:val="11"/>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15AAA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7BFC9D2A">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780D24D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44F129B9">
            <w:pPr>
              <w:pStyle w:val="18"/>
              <w:spacing w:before="60"/>
              <w:ind w:left="101"/>
              <w:rPr>
                <w:rFonts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9C50E6B">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4CA74E0C">
            <w:pPr>
              <w:pStyle w:val="18"/>
              <w:spacing w:before="60"/>
              <w:ind w:left="102"/>
              <w:rPr>
                <w:rFonts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7D7C3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19D7482">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46D445D3">
            <w:pPr>
              <w:pStyle w:val="18"/>
              <w:rPr>
                <w:rFonts w:ascii="仿宋_GB2312" w:hAnsi="仿宋_GB2312" w:eastAsia="仿宋_GB2312" w:cs="仿宋_GB2312"/>
                <w:sz w:val="24"/>
                <w:szCs w:val="24"/>
              </w:rPr>
            </w:pPr>
          </w:p>
        </w:tc>
        <w:tc>
          <w:tcPr>
            <w:tcW w:w="2292" w:type="dxa"/>
          </w:tcPr>
          <w:p w14:paraId="4B5CFCE7">
            <w:pPr>
              <w:pStyle w:val="18"/>
              <w:rPr>
                <w:rFonts w:ascii="仿宋_GB2312" w:hAnsi="仿宋_GB2312" w:eastAsia="仿宋_GB2312" w:cs="仿宋_GB2312"/>
                <w:sz w:val="24"/>
                <w:szCs w:val="24"/>
              </w:rPr>
            </w:pPr>
          </w:p>
        </w:tc>
        <w:tc>
          <w:tcPr>
            <w:tcW w:w="1445" w:type="dxa"/>
          </w:tcPr>
          <w:p w14:paraId="34CCC66A">
            <w:pPr>
              <w:pStyle w:val="18"/>
              <w:rPr>
                <w:rFonts w:ascii="仿宋_GB2312" w:hAnsi="仿宋_GB2312" w:eastAsia="仿宋_GB2312" w:cs="仿宋_GB2312"/>
                <w:sz w:val="24"/>
                <w:szCs w:val="24"/>
              </w:rPr>
            </w:pPr>
          </w:p>
        </w:tc>
        <w:tc>
          <w:tcPr>
            <w:tcW w:w="1269" w:type="dxa"/>
          </w:tcPr>
          <w:p w14:paraId="2C68D77B">
            <w:pPr>
              <w:pStyle w:val="18"/>
              <w:rPr>
                <w:rFonts w:ascii="仿宋_GB2312" w:hAnsi="仿宋_GB2312" w:eastAsia="仿宋_GB2312" w:cs="仿宋_GB2312"/>
                <w:sz w:val="24"/>
                <w:szCs w:val="24"/>
              </w:rPr>
            </w:pPr>
          </w:p>
        </w:tc>
      </w:tr>
      <w:tr w14:paraId="70425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1EC7C7B7">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496D90BC">
            <w:pPr>
              <w:pStyle w:val="18"/>
              <w:rPr>
                <w:rFonts w:ascii="仿宋_GB2312" w:hAnsi="仿宋_GB2312" w:eastAsia="仿宋_GB2312" w:cs="仿宋_GB2312"/>
                <w:sz w:val="24"/>
                <w:szCs w:val="24"/>
              </w:rPr>
            </w:pPr>
          </w:p>
        </w:tc>
        <w:tc>
          <w:tcPr>
            <w:tcW w:w="2292" w:type="dxa"/>
          </w:tcPr>
          <w:p w14:paraId="6A0659D8">
            <w:pPr>
              <w:pStyle w:val="18"/>
              <w:rPr>
                <w:rFonts w:ascii="仿宋_GB2312" w:hAnsi="仿宋_GB2312" w:eastAsia="仿宋_GB2312" w:cs="仿宋_GB2312"/>
                <w:sz w:val="24"/>
                <w:szCs w:val="24"/>
              </w:rPr>
            </w:pPr>
          </w:p>
        </w:tc>
        <w:tc>
          <w:tcPr>
            <w:tcW w:w="1445" w:type="dxa"/>
          </w:tcPr>
          <w:p w14:paraId="4A0376D4">
            <w:pPr>
              <w:pStyle w:val="18"/>
              <w:rPr>
                <w:rFonts w:ascii="仿宋_GB2312" w:hAnsi="仿宋_GB2312" w:eastAsia="仿宋_GB2312" w:cs="仿宋_GB2312"/>
                <w:sz w:val="24"/>
                <w:szCs w:val="24"/>
              </w:rPr>
            </w:pPr>
          </w:p>
        </w:tc>
        <w:tc>
          <w:tcPr>
            <w:tcW w:w="1269" w:type="dxa"/>
          </w:tcPr>
          <w:p w14:paraId="265EC054">
            <w:pPr>
              <w:pStyle w:val="18"/>
              <w:rPr>
                <w:rFonts w:ascii="仿宋_GB2312" w:hAnsi="仿宋_GB2312" w:eastAsia="仿宋_GB2312" w:cs="仿宋_GB2312"/>
                <w:sz w:val="24"/>
                <w:szCs w:val="24"/>
              </w:rPr>
            </w:pPr>
          </w:p>
        </w:tc>
      </w:tr>
      <w:tr w14:paraId="689A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BC39111">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63BB0F89">
            <w:pPr>
              <w:pStyle w:val="18"/>
              <w:rPr>
                <w:rFonts w:ascii="仿宋_GB2312" w:hAnsi="仿宋_GB2312" w:eastAsia="仿宋_GB2312" w:cs="仿宋_GB2312"/>
                <w:sz w:val="24"/>
                <w:szCs w:val="24"/>
              </w:rPr>
            </w:pPr>
          </w:p>
        </w:tc>
        <w:tc>
          <w:tcPr>
            <w:tcW w:w="2292" w:type="dxa"/>
          </w:tcPr>
          <w:p w14:paraId="47D881A4">
            <w:pPr>
              <w:pStyle w:val="18"/>
              <w:rPr>
                <w:rFonts w:ascii="仿宋_GB2312" w:hAnsi="仿宋_GB2312" w:eastAsia="仿宋_GB2312" w:cs="仿宋_GB2312"/>
                <w:sz w:val="24"/>
                <w:szCs w:val="24"/>
              </w:rPr>
            </w:pPr>
          </w:p>
        </w:tc>
        <w:tc>
          <w:tcPr>
            <w:tcW w:w="1445" w:type="dxa"/>
          </w:tcPr>
          <w:p w14:paraId="327791D6">
            <w:pPr>
              <w:pStyle w:val="18"/>
              <w:rPr>
                <w:rFonts w:ascii="仿宋_GB2312" w:hAnsi="仿宋_GB2312" w:eastAsia="仿宋_GB2312" w:cs="仿宋_GB2312"/>
                <w:sz w:val="24"/>
                <w:szCs w:val="24"/>
              </w:rPr>
            </w:pPr>
          </w:p>
        </w:tc>
        <w:tc>
          <w:tcPr>
            <w:tcW w:w="1269" w:type="dxa"/>
          </w:tcPr>
          <w:p w14:paraId="0146A872">
            <w:pPr>
              <w:pStyle w:val="18"/>
              <w:rPr>
                <w:rFonts w:ascii="仿宋_GB2312" w:hAnsi="仿宋_GB2312" w:eastAsia="仿宋_GB2312" w:cs="仿宋_GB2312"/>
                <w:sz w:val="24"/>
                <w:szCs w:val="24"/>
              </w:rPr>
            </w:pPr>
          </w:p>
        </w:tc>
      </w:tr>
      <w:tr w14:paraId="16B57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0BD6CA49">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4A3597DC">
            <w:pPr>
              <w:pStyle w:val="18"/>
              <w:rPr>
                <w:rFonts w:ascii="仿宋_GB2312" w:hAnsi="仿宋_GB2312" w:eastAsia="仿宋_GB2312" w:cs="仿宋_GB2312"/>
                <w:sz w:val="24"/>
                <w:szCs w:val="24"/>
              </w:rPr>
            </w:pPr>
          </w:p>
        </w:tc>
        <w:tc>
          <w:tcPr>
            <w:tcW w:w="2292" w:type="dxa"/>
          </w:tcPr>
          <w:p w14:paraId="59BA1A3F">
            <w:pPr>
              <w:pStyle w:val="18"/>
              <w:rPr>
                <w:rFonts w:ascii="仿宋_GB2312" w:hAnsi="仿宋_GB2312" w:eastAsia="仿宋_GB2312" w:cs="仿宋_GB2312"/>
                <w:sz w:val="24"/>
                <w:szCs w:val="24"/>
              </w:rPr>
            </w:pPr>
          </w:p>
        </w:tc>
        <w:tc>
          <w:tcPr>
            <w:tcW w:w="1445" w:type="dxa"/>
          </w:tcPr>
          <w:p w14:paraId="22DF089C">
            <w:pPr>
              <w:pStyle w:val="18"/>
              <w:rPr>
                <w:rFonts w:ascii="仿宋_GB2312" w:hAnsi="仿宋_GB2312" w:eastAsia="仿宋_GB2312" w:cs="仿宋_GB2312"/>
                <w:sz w:val="24"/>
                <w:szCs w:val="24"/>
              </w:rPr>
            </w:pPr>
          </w:p>
        </w:tc>
        <w:tc>
          <w:tcPr>
            <w:tcW w:w="1269" w:type="dxa"/>
          </w:tcPr>
          <w:p w14:paraId="491C7EB2">
            <w:pPr>
              <w:pStyle w:val="18"/>
              <w:rPr>
                <w:rFonts w:ascii="仿宋_GB2312" w:hAnsi="仿宋_GB2312" w:eastAsia="仿宋_GB2312" w:cs="仿宋_GB2312"/>
                <w:sz w:val="24"/>
                <w:szCs w:val="24"/>
              </w:rPr>
            </w:pPr>
          </w:p>
        </w:tc>
      </w:tr>
      <w:tr w14:paraId="355E0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ABAE69E">
            <w:pPr>
              <w:pStyle w:val="18"/>
              <w:spacing w:before="60"/>
              <w:ind w:left="100"/>
              <w:rPr>
                <w:rFonts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280E89D6">
            <w:pPr>
              <w:pStyle w:val="18"/>
              <w:rPr>
                <w:rFonts w:ascii="仿宋_GB2312" w:hAnsi="仿宋_GB2312" w:eastAsia="仿宋_GB2312" w:cs="仿宋_GB2312"/>
                <w:sz w:val="24"/>
                <w:szCs w:val="24"/>
              </w:rPr>
            </w:pPr>
          </w:p>
        </w:tc>
        <w:tc>
          <w:tcPr>
            <w:tcW w:w="2292" w:type="dxa"/>
          </w:tcPr>
          <w:p w14:paraId="69929B78">
            <w:pPr>
              <w:pStyle w:val="18"/>
              <w:rPr>
                <w:rFonts w:ascii="仿宋_GB2312" w:hAnsi="仿宋_GB2312" w:eastAsia="仿宋_GB2312" w:cs="仿宋_GB2312"/>
                <w:sz w:val="24"/>
                <w:szCs w:val="24"/>
              </w:rPr>
            </w:pPr>
          </w:p>
        </w:tc>
        <w:tc>
          <w:tcPr>
            <w:tcW w:w="1445" w:type="dxa"/>
          </w:tcPr>
          <w:p w14:paraId="5C6B849B">
            <w:pPr>
              <w:pStyle w:val="18"/>
              <w:rPr>
                <w:rFonts w:ascii="仿宋_GB2312" w:hAnsi="仿宋_GB2312" w:eastAsia="仿宋_GB2312" w:cs="仿宋_GB2312"/>
                <w:sz w:val="24"/>
                <w:szCs w:val="24"/>
              </w:rPr>
            </w:pPr>
          </w:p>
        </w:tc>
        <w:tc>
          <w:tcPr>
            <w:tcW w:w="1269" w:type="dxa"/>
          </w:tcPr>
          <w:p w14:paraId="550D415F">
            <w:pPr>
              <w:pStyle w:val="18"/>
              <w:rPr>
                <w:rFonts w:ascii="仿宋_GB2312" w:hAnsi="仿宋_GB2312" w:eastAsia="仿宋_GB2312" w:cs="仿宋_GB2312"/>
                <w:sz w:val="24"/>
                <w:szCs w:val="24"/>
              </w:rPr>
            </w:pPr>
          </w:p>
        </w:tc>
      </w:tr>
    </w:tbl>
    <w:p w14:paraId="396F6A19">
      <w:pPr>
        <w:pStyle w:val="4"/>
        <w:spacing w:before="122"/>
        <w:ind w:left="14" w:hanging="14" w:hangingChars="6"/>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供应商根据上述业绩情况后附销售或服务合同复印件。</w:t>
      </w:r>
    </w:p>
    <w:p w14:paraId="10C4AFA4">
      <w:pPr>
        <w:pStyle w:val="22"/>
      </w:pPr>
    </w:p>
    <w:p w14:paraId="14B12D9E">
      <w:pPr>
        <w:pStyle w:val="22"/>
      </w:pPr>
    </w:p>
    <w:p w14:paraId="4D3D6DBF">
      <w:pPr>
        <w:pStyle w:val="22"/>
      </w:pPr>
    </w:p>
    <w:p w14:paraId="6893F8BC">
      <w:pPr>
        <w:pStyle w:val="22"/>
      </w:pPr>
    </w:p>
    <w:p w14:paraId="3E973BA6">
      <w:pPr>
        <w:pStyle w:val="22"/>
      </w:pPr>
      <w:r>
        <w:rPr>
          <w:rFonts w:hint="eastAsia"/>
        </w:rPr>
        <w:t>（以下格式文件由供应商根据需要选用）</w:t>
      </w:r>
    </w:p>
    <w:p w14:paraId="6146FE13">
      <w:pPr>
        <w:pStyle w:val="7"/>
        <w:spacing w:before="6"/>
        <w:rPr>
          <w:rFonts w:ascii="仿宋_GB2312" w:hAnsi="仿宋_GB2312" w:eastAsia="仿宋_GB2312" w:cs="仿宋_GB2312"/>
          <w:sz w:val="24"/>
          <w:szCs w:val="24"/>
          <w:lang w:eastAsia="zh-CN"/>
        </w:rPr>
      </w:pPr>
    </w:p>
    <w:p w14:paraId="59F96201">
      <w:pPr>
        <w:jc w:val="center"/>
        <w:rPr>
          <w:rFonts w:ascii="仿宋" w:hAnsi="仿宋" w:eastAsia="仿宋"/>
          <w:b/>
          <w:bCs/>
          <w:sz w:val="28"/>
          <w:szCs w:val="28"/>
          <w:lang w:eastAsia="zh-CN"/>
        </w:rPr>
      </w:pPr>
      <w:r>
        <w:rPr>
          <w:rFonts w:hint="eastAsia" w:ascii="仿宋" w:hAnsi="仿宋" w:eastAsia="仿宋"/>
          <w:b/>
          <w:bCs/>
          <w:sz w:val="28"/>
          <w:szCs w:val="28"/>
          <w:lang w:eastAsia="zh-CN"/>
        </w:rPr>
        <w:t>十八、其他证明材料</w:t>
      </w:r>
    </w:p>
    <w:p w14:paraId="244098B6">
      <w:pPr>
        <w:pStyle w:val="17"/>
        <w:tabs>
          <w:tab w:val="left" w:pos="673"/>
        </w:tabs>
        <w:spacing w:before="11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一、竞争性谈判通知书要求提供的其他资料。</w:t>
      </w:r>
    </w:p>
    <w:p w14:paraId="04811BAD">
      <w:pPr>
        <w:pStyle w:val="17"/>
        <w:tabs>
          <w:tab w:val="left" w:pos="673"/>
        </w:tabs>
        <w:spacing w:before="141"/>
        <w:ind w:left="490" w:firstLine="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二、供应商认为需提供的其他资料。</w:t>
      </w:r>
    </w:p>
    <w:p w14:paraId="7577CE34">
      <w:pPr>
        <w:pStyle w:val="17"/>
        <w:tabs>
          <w:tab w:val="left" w:pos="673"/>
        </w:tabs>
        <w:spacing w:before="141"/>
        <w:ind w:left="10"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UI Gothic">
    <w:panose1 w:val="020B0600070205080204"/>
    <w:charset w:val="80"/>
    <w:family w:val="swiss"/>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1132">
    <w:pPr>
      <w:pStyle w:val="7"/>
      <w:rPr>
        <w:sz w:val="20"/>
        <w:lang w:eastAsia="zh-CN"/>
      </w:rPr>
    </w:pPr>
    <w:r>
      <w:rPr>
        <w:sz w:val="20"/>
      </w:rPr>
      <mc:AlternateContent>
        <mc:Choice Requires="wps">
          <w:drawing>
            <wp:anchor distT="0" distB="0" distL="114300" distR="114300" simplePos="0" relativeHeight="251661312" behindDoc="0" locked="0" layoutInCell="1" allowOverlap="1">
              <wp:simplePos x="0" y="0"/>
              <wp:positionH relativeFrom="margin">
                <wp:posOffset>2747645</wp:posOffset>
              </wp:positionH>
              <wp:positionV relativeFrom="paragraph">
                <wp:posOffset>-266065</wp:posOffset>
              </wp:positionV>
              <wp:extent cx="1828800" cy="1828800"/>
              <wp:effectExtent l="0" t="0" r="0" b="0"/>
              <wp:wrapNone/>
              <wp:docPr id="1"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5C354">
                          <w:pPr>
                            <w:pStyle w:val="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44" o:spid="_x0000_s1026" o:spt="202" type="#_x0000_t202" style="position:absolute;left:0pt;margin-left:216.35pt;margin-top:-20.95pt;height:144pt;width:144pt;mso-position-horizontal-relative:margin;mso-wrap-style:none;z-index:251661312;mso-width-relative:page;mso-height-relative:page;" filled="f" stroked="f" coordsize="21600,21600" o:gfxdata="UEsDBAoAAAAAAIdO4kAAAAAAAAAAAAAAAAAEAAAAZHJzL1BLAwQUAAAACACHTuJAhC35eNgAAAAL&#10;AQAADwAAAGRycy9kb3ducmV2LnhtbE2PPU/DMBCGdyT+g3VIbK2dEDUljdOhEgsbBVVic+NrHNUf&#10;Ueymyb/nmGC8u0fvPW+9n51lE46xD15CthbA0LdB976T8PX5ttoCi0l5rWzwKGHBCPvm8aFWlQ53&#10;/4HTMXWMQnyslAST0lBxHluDTsV1GNDT7RJGpxKNY8f1qO4U7izPhdhwp3pPH4wa8GCwvR5vTkI5&#10;nwIOEQ/4fZna0fTL1r4vUj4/ZWIHLOGc/mD41Sd1aMjpHG5eR2YlFC95SaiEVZG9AiOizAVtzhLy&#10;YpMBb2r+v0PzA1BLAwQUAAAACACHTuJAO8QEtcUBAACQAwAADgAAAGRycy9lMm9Eb2MueG1srVPB&#10;btswDL0P6D8IujdygmIIjDjFhqBDgWIb0O0DFFmOBUiiICqx8wPbH+y0y+77rnzHKNtJu+7Swy4y&#10;RVKPfI/06rZ3lh10RAO+4vNZwZn2CmrjdxX/+uXueskZJulracHrih818tv11ZtVF0q9gBZsrSMj&#10;EI9lFyrephRKIVC12kmcQdCegg1EJxNd407UUXaE7qxYFMVb0UGsQwSlEcm7GYN8QoyvAYSmMUpv&#10;QO2d9mlEjdrKRJSwNQH5eui2abRKn5oGdWK24sQ0DScVIXubT7FeyXIXZWiNmlqQr2nhBScnjaei&#10;F6iNTJLto/kHyhkVAaFJMwVOjEQGRYjFvHihzWMrgx64kNQYLqLj/4NVHw+fIzM1bQJnXjoa+OnH&#10;99PP36df39i8uLnJCnUBS0p8DJSa+vfQ5+zJj+TMxPsmuvwlSozipO/xoq/uE1P50XKxXBYUUhQ7&#10;XwhHPD0PEdMHDY5lo+KRBjjoKg8PmMbUc0qu5uHOWEt+WVr/l4Mws0fk3sces5X6bT81voX6SHw6&#10;mn3FPa06Z/bek7R5Tc5GPBvbycg1MLzbJyo89JNRR6ipGA1qYDQtVd6E5/ch6+lHWv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C35eNgAAAALAQAADwAAAAAAAAABACAAAAAiAAAAZHJzL2Rvd25y&#10;ZXYueG1sUEsBAhQAFAAAAAgAh07iQDvEBLXFAQAAkAMAAA4AAAAAAAAAAQAgAAAAJwEAAGRycy9l&#10;Mm9Eb2MueG1sUEsFBgAAAAAGAAYAWQEAAF4FAAAAAA==&#10;">
              <v:fill on="f" focussize="0,0"/>
              <v:stroke on="f"/>
              <v:imagedata o:title=""/>
              <o:lock v:ext="edit" aspectratio="f"/>
              <v:textbox inset="0mm,0mm,0mm,0mm" style="mso-fit-shape-to-text:t;">
                <w:txbxContent>
                  <w:p w14:paraId="2605C3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FDD1">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2712720</wp:posOffset>
              </wp:positionH>
              <wp:positionV relativeFrom="paragraph">
                <wp:posOffset>-405130</wp:posOffset>
              </wp:positionV>
              <wp:extent cx="1828800" cy="1828800"/>
              <wp:effectExtent l="0" t="0" r="0" b="0"/>
              <wp:wrapNone/>
              <wp:docPr id="2" name="文本框 1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C2FC47">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60" o:spid="_x0000_s1026" o:spt="202" type="#_x0000_t202" style="position:absolute;left:0pt;margin-left:213.6pt;margin-top:-31.9pt;height:144pt;width:144pt;mso-position-horizontal-relative:margin;mso-wrap-style:none;z-index:251659264;mso-width-relative:page;mso-height-relative:page;" filled="f" stroked="f" coordsize="21600,21600" o:gfxdata="UEsDBAoAAAAAAIdO4kAAAAAAAAAAAAAAAAAEAAAAZHJzL1BLAwQUAAAACACHTuJA2Y23PNcAAAAL&#10;AQAADwAAAGRycy9kb3ducmV2LnhtbE2PPU/DMBCGdyT+g3VIbK0TU5oqxOlQiYWNgiqxufE1jvBH&#10;ZLtp8u85Jhjv7tF7z9vsZ2fZhDENwUso1wUw9F3Qg+8lfH68rnbAUlZeKxs8Slgwwb69v2tUrcPN&#10;v+N0zD2jEJ9qJcHkPNacp86gU2kdRvR0u4ToVKYx9lxHdaNwZ7koii13avD0wagRDwa77+PVSajm&#10;U8Ax4QG/LlMXzbDs7Nsi5eNDWbwAyzjnPxh+9UkdWnI6h6vXiVkJG1EJQiWstk/UgYiqfKbNWYIQ&#10;GwG8bfj/Du0PUEsDBBQAAAAIAIdO4kADHx3/wwEAAJADAAAOAAAAZHJzL2Uyb0RvYy54bWytU0tu&#10;2zAQ3RfIHQjuY8peBIZgOWhhpChQtAXSHoCmSIsAf+DQlnyB5gZZddN9z+VzdEjJdptusuiGGs4M&#10;38x7M1rdD9aQg4ygvWvofFZRIp3wrXa7hn77+nC7pAQSdy033smGHiXQ+/XNm1UfarnwnTetjARB&#10;HNR9aGiXUqgZA9FJy2Hmg3QYVD5anvAad6yNvEd0a9iiqu5Y72MbohcSAL2bMUgnxPgaQK+UFnLj&#10;xd5Kl0bUKA1PSAk6HYCuS7dKSZE+KwUyEdNQZJrKiUXQ3uaTrVe83kUeOi2mFvhrWnjByXLtsOgF&#10;asMTJ/uo/4GyWkQPXqWZ8JaNRIoiyGJevdDmseNBFi4oNYSL6PD/YMWnw5dIdNvQBSWOWxz46fnp&#10;9OPX6ed3Mq/uikJ9gBoTHwOmpuGdH3BvsnLZD+jMxAcVbf4iJYJx1Pd40VcOiYj8aLlYLisMCYyd&#10;L4jDrs9DhPReekuy0dCIAyy68sNHSGPqOSVXc/5BG1OGaNxfDsTMHnbtMVtp2A5T41vfHpFPj7Nv&#10;qMNVp8R8cChtXpOzEc/GdjJyDQhv9wkLl34y6gg1FcNBFUbTUuVN+PNesq4/0v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Y23PNcAAAALAQAADwAAAAAAAAABACAAAAAiAAAAZHJzL2Rvd25yZXYu&#10;eG1sUEsBAhQAFAAAAAgAh07iQAMfHf/DAQAAkAMAAA4AAAAAAAAAAQAgAAAAJgEAAGRycy9lMm9E&#10;b2MueG1sUEsFBgAAAAAGAAYAWQEAAFsFAAAAAA==&#10;">
              <v:fill on="f" focussize="0,0"/>
              <v:stroke on="f"/>
              <v:imagedata o:title=""/>
              <o:lock v:ext="edit" aspectratio="f"/>
              <v:textbox inset="0mm,0mm,0mm,0mm" style="mso-fit-shape-to-text:t;">
                <w:txbxContent>
                  <w:p w14:paraId="4FC2FC47">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CE748">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021893">
                          <w:pPr>
                            <w:pStyle w:val="8"/>
                          </w:pPr>
                          <w:r>
                            <w:fldChar w:fldCharType="begin"/>
                          </w:r>
                          <w:r>
                            <w:instrText xml:space="preserve"> PAGE  \* MERGEFORMAT </w:instrText>
                          </w:r>
                          <w:r>
                            <w:fldChar w:fldCharType="separate"/>
                          </w:r>
                          <w:r>
                            <w:t>10</w:t>
                          </w:r>
                          <w:r>
                            <w:fldChar w:fldCharType="end"/>
                          </w:r>
                        </w:p>
                      </w:txbxContent>
                    </wps:txbx>
                    <wps:bodyPr wrap="none" lIns="0" tIns="0" rIns="0" bIns="0">
                      <a:spAutoFit/>
                    </wps:bodyPr>
                  </wps:wsp>
                </a:graphicData>
              </a:graphic>
            </wp:anchor>
          </w:drawing>
        </mc:Choice>
        <mc:Fallback>
          <w:pict>
            <v:shape id="文本框 1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y1zcQBAACQAwAADgAAAGRycy9lMm9Eb2MueG1srVNNrtMwEN4jcQfL&#10;e+q04qeKmj6BqoeQECA9OIDr2I0l/8njNukF4Aas2LDnXD0HYyfpg8fmLdg445nxN/N9M9ncDNaQ&#10;k4ygvWvoclFRIp3wrXaHhn75fPtsTQkk7lpuvJMNPUugN9unTzZ9qOXKd960MhIEcVD3oaFdSqFm&#10;DEQnLYeFD9JhUPloecJrPLA28h7RrWGrqnrJeh/bEL2QAOjdjUE6IcbHAHqltJA7L45WujSiRml4&#10;QkrQ6QB0W7pVSor0USmQiZiGItNUTiyC9j6fbLvh9SHy0GkxtcAf08IDTpZrh0WvUDueODlG/Q+U&#10;1SJ68CothLdsJFIUQRbL6oE2dx0PsnBBqSFcRYf/Bys+nD5FotuGPqfEcYsDv3z/dvnx6/LzK1lW&#10;r15khfoANSbeBUxNwxs/4N7MfkBnJj6oaPMXKRGMo77nq75ySETkR+vVel1hSGBsviA+u38eIqS3&#10;0luSjYZGHGDRlZ/eQxpT55RczflbbUwZonF/ORAze1jufewxW2nYDxOhvW/PyKfH2TfU4apTYt45&#10;lDavyWzE2dhPRq4B4fUxYeHST0YdoaZiOKjCaFqqvAl/3kvW/Y+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Tdy1zcQBAACQAwAADgAAAAAAAAABACAAAAAeAQAAZHJzL2Uyb0RvYy54bWxQ&#10;SwUGAAAAAAYABgBZAQAAVAUAAAAA&#10;">
              <v:fill on="f" focussize="0,0"/>
              <v:stroke on="f"/>
              <v:imagedata o:title=""/>
              <o:lock v:ext="edit" aspectratio="f"/>
              <v:textbox inset="0mm,0mm,0mm,0mm" style="mso-fit-shape-to-text:t;">
                <w:txbxContent>
                  <w:p w14:paraId="5C021893">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8E115">
    <w:pPr>
      <w:pStyle w:val="8"/>
      <w:jc w:val="center"/>
    </w:pPr>
    <w:r>
      <mc:AlternateContent>
        <mc:Choice Requires="wps">
          <w:drawing>
            <wp:anchor distT="0" distB="0" distL="114300" distR="114300" simplePos="0" relativeHeight="251660288" behindDoc="0" locked="0" layoutInCell="1" allowOverlap="1">
              <wp:simplePos x="0" y="0"/>
              <wp:positionH relativeFrom="margin">
                <wp:posOffset>2712720</wp:posOffset>
              </wp:positionH>
              <wp:positionV relativeFrom="paragraph">
                <wp:posOffset>-465455</wp:posOffset>
              </wp:positionV>
              <wp:extent cx="1828800" cy="1828800"/>
              <wp:effectExtent l="0" t="0" r="0" b="0"/>
              <wp:wrapNone/>
              <wp:docPr id="3" name="文本框 10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5F7830">
                          <w:pPr>
                            <w:pStyle w:val="8"/>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71" o:spid="_x0000_s1026" o:spt="202" type="#_x0000_t202" style="position:absolute;left:0pt;margin-left:213.6pt;margin-top:-36.65pt;height:144pt;width:144pt;mso-position-horizontal-relative:margin;mso-wrap-style:none;z-index:251660288;mso-width-relative:page;mso-height-relative:page;" filled="f" stroked="f" coordsize="21600,21600" o:gfxdata="UEsDBAoAAAAAAIdO4kAAAAAAAAAAAAAAAAAEAAAAZHJzL1BLAwQUAAAACACHTuJANxttsdcAAAAL&#10;AQAADwAAAGRycy9kb3ducmV2LnhtbE2PsU7DMBCGdyTewTokttZJWnAV4nSoxMJGQZXY3PgaR9jn&#10;yHbT5O0xE4x39+m/72/2s7NswhAHTxLKdQEMqfN6oF7C58fragcsJkVaWU8oYcEI+/b+rlG19jd6&#10;x+mYepZDKNZKgklprDmPnUGn4tqPSPl28cGplMfQcx3ULYc7y6uieOZODZQ/GDXiwWD3fbw6CWI+&#10;eRwjHvDrMnXBDMvOvi1SPj6UxQuwhHP6g+FXP6tDm53O/ko6MithW4kqoxJWYrMBlglRPuXNWUJV&#10;bgXwtuH/O7Q/UEsDBBQAAAAIAIdO4kD/ATkfxAEAAJADAAAOAAAAZHJzL2Uyb0RvYy54bWytU82O&#10;0zAQviPxDpbv1GmRoIqarkDVIiQESMs+gOvYjSX/yeM26QvAG3Diwp3n6nMwdpIuLJc9cHHGM+Nv&#10;5vtmsrkZrCEnGUF719DloqJEOuFb7Q4Nvf9y+2JNCSTuWm68kw09S6A32+fPNn2o5cp33rQyEgRx&#10;UPehoV1KoWYMRCcth4UP0mFQ+Wh5wms8sDbyHtGtYauqesV6H9sQvZAA6N2NQTohxqcAeqW0kDsv&#10;jla6NKJGaXhCStDpAHRbulVKivRJKZCJmIYi01ROLIL2Pp9su+H1IfLQaTG1wJ/SwiNOlmuHRa9Q&#10;O544OUb9D5TVInrwKi2Et2wkUhRBFsvqkTZ3HQ+ycEGpIVxFh/8HKz6ePkei24a+pMRxiwO/fP92&#10;+fHr8vMrWVavl1mhPkCNiXcBU9Pw1g+4N7Mf0JmJDyra/EVKBOOo7/mqrxwSEfnRerVeVxgSGJsv&#10;iM8enocI6Z30lmSjoREHWHTlpw+QxtQ5JVdz/lYbU4Zo3F8OxMwelnsfe8xWGvbDRGjv2zPy6XH2&#10;DXW46pSY9w6lzWsyG3E29pORa0B4c0xYuPSTUUeoqRgOqjCalipvwp/3kvXwI2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cbbbHXAAAACwEAAA8AAAAAAAAAAQAgAAAAIgAAAGRycy9kb3ducmV2&#10;LnhtbFBLAQIUABQAAAAIAIdO4kD/ATkfxAEAAJADAAAOAAAAAAAAAAEAIAAAACYBAABkcnMvZTJv&#10;RG9jLnhtbFBLBQYAAAAABgAGAFkBAABcBQAAAAA=&#10;">
              <v:fill on="f" focussize="0,0"/>
              <v:stroke on="f"/>
              <v:imagedata o:title=""/>
              <o:lock v:ext="edit" aspectratio="f"/>
              <v:textbox inset="0mm,0mm,0mm,0mm" style="mso-fit-shape-to-text:t;">
                <w:txbxContent>
                  <w:p w14:paraId="745F7830">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49F5">
    <w:pPr>
      <w:pStyle w:val="9"/>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A30DC">
    <w:pPr>
      <w:pStyle w:val="9"/>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41D34"/>
    <w:multiLevelType w:val="multilevel"/>
    <w:tmpl w:val="5A241D34"/>
    <w:lvl w:ilvl="0" w:tentative="0">
      <w:start w:val="1"/>
      <w:numFmt w:val="decimal"/>
      <w:lvlText w:val="%1."/>
      <w:lvlJc w:val="left"/>
      <w:pPr>
        <w:ind w:left="777" w:hanging="240"/>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1">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xY2FjMmFiMWZkMWFiMzY5NzliMjIwZWUwZTcxMGQifQ=="/>
  </w:docVars>
  <w:rsids>
    <w:rsidRoot w:val="0050394C"/>
    <w:rsid w:val="00115B0D"/>
    <w:rsid w:val="00177B64"/>
    <w:rsid w:val="00213EC0"/>
    <w:rsid w:val="002249BA"/>
    <w:rsid w:val="0026733D"/>
    <w:rsid w:val="002C05CC"/>
    <w:rsid w:val="003612BF"/>
    <w:rsid w:val="00405BD5"/>
    <w:rsid w:val="00485173"/>
    <w:rsid w:val="004E230E"/>
    <w:rsid w:val="0050394C"/>
    <w:rsid w:val="00514B08"/>
    <w:rsid w:val="00524B61"/>
    <w:rsid w:val="005C282F"/>
    <w:rsid w:val="005E1287"/>
    <w:rsid w:val="00654F4E"/>
    <w:rsid w:val="006B3E93"/>
    <w:rsid w:val="006E579B"/>
    <w:rsid w:val="00742E36"/>
    <w:rsid w:val="007C4933"/>
    <w:rsid w:val="0083050F"/>
    <w:rsid w:val="00836CAE"/>
    <w:rsid w:val="008527ED"/>
    <w:rsid w:val="008617B0"/>
    <w:rsid w:val="008E434C"/>
    <w:rsid w:val="009475CB"/>
    <w:rsid w:val="009C5DA9"/>
    <w:rsid w:val="009F2CEC"/>
    <w:rsid w:val="00A9090B"/>
    <w:rsid w:val="00AB5C4E"/>
    <w:rsid w:val="00B31BBB"/>
    <w:rsid w:val="00B736EC"/>
    <w:rsid w:val="00BD53F4"/>
    <w:rsid w:val="00BE04BA"/>
    <w:rsid w:val="00C65061"/>
    <w:rsid w:val="00DA69C6"/>
    <w:rsid w:val="00E80C5A"/>
    <w:rsid w:val="00F22268"/>
    <w:rsid w:val="00FB62F5"/>
    <w:rsid w:val="00FF5206"/>
    <w:rsid w:val="0147153B"/>
    <w:rsid w:val="021F0021"/>
    <w:rsid w:val="027C3466"/>
    <w:rsid w:val="029600EE"/>
    <w:rsid w:val="02D908B8"/>
    <w:rsid w:val="02FB5307"/>
    <w:rsid w:val="031177C3"/>
    <w:rsid w:val="03192E2A"/>
    <w:rsid w:val="03867D4B"/>
    <w:rsid w:val="03C74BB5"/>
    <w:rsid w:val="044304CB"/>
    <w:rsid w:val="05092FAB"/>
    <w:rsid w:val="05C05BA0"/>
    <w:rsid w:val="05DD1488"/>
    <w:rsid w:val="071C5217"/>
    <w:rsid w:val="07E37AE3"/>
    <w:rsid w:val="081E5BF4"/>
    <w:rsid w:val="087A397A"/>
    <w:rsid w:val="08892E36"/>
    <w:rsid w:val="090B64CA"/>
    <w:rsid w:val="09654833"/>
    <w:rsid w:val="096867B1"/>
    <w:rsid w:val="09811362"/>
    <w:rsid w:val="09A550C9"/>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22F2976"/>
    <w:rsid w:val="12323B41"/>
    <w:rsid w:val="12437E53"/>
    <w:rsid w:val="1263153F"/>
    <w:rsid w:val="12813BF6"/>
    <w:rsid w:val="14294CDE"/>
    <w:rsid w:val="144B6EAF"/>
    <w:rsid w:val="145844B6"/>
    <w:rsid w:val="16416015"/>
    <w:rsid w:val="16585B40"/>
    <w:rsid w:val="16E77D37"/>
    <w:rsid w:val="17800EAB"/>
    <w:rsid w:val="17935082"/>
    <w:rsid w:val="17FE08EF"/>
    <w:rsid w:val="18B76CDE"/>
    <w:rsid w:val="18DE59EF"/>
    <w:rsid w:val="190B692E"/>
    <w:rsid w:val="19EB6264"/>
    <w:rsid w:val="19FD67E3"/>
    <w:rsid w:val="1A8F1D93"/>
    <w:rsid w:val="1ABD6707"/>
    <w:rsid w:val="1AE238A6"/>
    <w:rsid w:val="1B2D30F7"/>
    <w:rsid w:val="1B5B3A18"/>
    <w:rsid w:val="1B754A9E"/>
    <w:rsid w:val="1B8B42C2"/>
    <w:rsid w:val="1C8F393E"/>
    <w:rsid w:val="1D1C2FE9"/>
    <w:rsid w:val="1D361A4D"/>
    <w:rsid w:val="1DD21060"/>
    <w:rsid w:val="1E6133C1"/>
    <w:rsid w:val="1E76533C"/>
    <w:rsid w:val="1E8C6387"/>
    <w:rsid w:val="1EAE09F3"/>
    <w:rsid w:val="1EBD29E4"/>
    <w:rsid w:val="1EF81C6E"/>
    <w:rsid w:val="1EFF4DAB"/>
    <w:rsid w:val="1F4435F9"/>
    <w:rsid w:val="1F52137F"/>
    <w:rsid w:val="1F761FB4"/>
    <w:rsid w:val="1FC05C37"/>
    <w:rsid w:val="215D225D"/>
    <w:rsid w:val="21E25E65"/>
    <w:rsid w:val="221A39C9"/>
    <w:rsid w:val="23731D1E"/>
    <w:rsid w:val="23F944BF"/>
    <w:rsid w:val="24297892"/>
    <w:rsid w:val="248144B4"/>
    <w:rsid w:val="249D7540"/>
    <w:rsid w:val="256A42DD"/>
    <w:rsid w:val="2595063D"/>
    <w:rsid w:val="26061115"/>
    <w:rsid w:val="2764542A"/>
    <w:rsid w:val="2944442E"/>
    <w:rsid w:val="299802D6"/>
    <w:rsid w:val="29D30E73"/>
    <w:rsid w:val="2A3F3258"/>
    <w:rsid w:val="2A8D770F"/>
    <w:rsid w:val="2AA809EC"/>
    <w:rsid w:val="2B632B65"/>
    <w:rsid w:val="2CF03346"/>
    <w:rsid w:val="2D56432B"/>
    <w:rsid w:val="2D5C54BF"/>
    <w:rsid w:val="2E494294"/>
    <w:rsid w:val="2E5C5D76"/>
    <w:rsid w:val="2F475ACE"/>
    <w:rsid w:val="3002294D"/>
    <w:rsid w:val="300C68EA"/>
    <w:rsid w:val="3014442E"/>
    <w:rsid w:val="30A71CA7"/>
    <w:rsid w:val="30F475A7"/>
    <w:rsid w:val="31244B45"/>
    <w:rsid w:val="31D73965"/>
    <w:rsid w:val="32416469"/>
    <w:rsid w:val="33501C21"/>
    <w:rsid w:val="33E04D46"/>
    <w:rsid w:val="342B2D25"/>
    <w:rsid w:val="34E02B31"/>
    <w:rsid w:val="352856B1"/>
    <w:rsid w:val="357F234A"/>
    <w:rsid w:val="36392E40"/>
    <w:rsid w:val="3772660A"/>
    <w:rsid w:val="385A5C75"/>
    <w:rsid w:val="38E52E0C"/>
    <w:rsid w:val="392E29AA"/>
    <w:rsid w:val="3AE8273F"/>
    <w:rsid w:val="3B8A3C35"/>
    <w:rsid w:val="3BCE204F"/>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73DC5"/>
    <w:rsid w:val="42BA2C13"/>
    <w:rsid w:val="42E60BB4"/>
    <w:rsid w:val="431E4C91"/>
    <w:rsid w:val="432B3B11"/>
    <w:rsid w:val="43B02D5C"/>
    <w:rsid w:val="43F02873"/>
    <w:rsid w:val="447D214A"/>
    <w:rsid w:val="449C4CC6"/>
    <w:rsid w:val="455235D7"/>
    <w:rsid w:val="4558401B"/>
    <w:rsid w:val="465B64BB"/>
    <w:rsid w:val="46FB2C62"/>
    <w:rsid w:val="470B6133"/>
    <w:rsid w:val="47857C94"/>
    <w:rsid w:val="47FC782A"/>
    <w:rsid w:val="48CB3136"/>
    <w:rsid w:val="496029FF"/>
    <w:rsid w:val="49687FA5"/>
    <w:rsid w:val="49FE0626"/>
    <w:rsid w:val="4A6A796F"/>
    <w:rsid w:val="4B571496"/>
    <w:rsid w:val="4BA12F4E"/>
    <w:rsid w:val="4BD22EE6"/>
    <w:rsid w:val="4BD76036"/>
    <w:rsid w:val="4C101AF6"/>
    <w:rsid w:val="4C20293A"/>
    <w:rsid w:val="4C923D05"/>
    <w:rsid w:val="4D431C06"/>
    <w:rsid w:val="4DA16EA9"/>
    <w:rsid w:val="4E720846"/>
    <w:rsid w:val="4EB14C69"/>
    <w:rsid w:val="4F334479"/>
    <w:rsid w:val="50852AB2"/>
    <w:rsid w:val="50884351"/>
    <w:rsid w:val="50FA151B"/>
    <w:rsid w:val="53D876AC"/>
    <w:rsid w:val="53EA2D68"/>
    <w:rsid w:val="54A379AB"/>
    <w:rsid w:val="54CB6F02"/>
    <w:rsid w:val="56F7631B"/>
    <w:rsid w:val="57663373"/>
    <w:rsid w:val="583475F3"/>
    <w:rsid w:val="59F7340B"/>
    <w:rsid w:val="5A411508"/>
    <w:rsid w:val="5A8C2872"/>
    <w:rsid w:val="5ADC3C17"/>
    <w:rsid w:val="5B661732"/>
    <w:rsid w:val="5BAF1392"/>
    <w:rsid w:val="5BF46BF1"/>
    <w:rsid w:val="5C660E6D"/>
    <w:rsid w:val="5C7C26D3"/>
    <w:rsid w:val="5CD836E7"/>
    <w:rsid w:val="5D1E3B0E"/>
    <w:rsid w:val="5E5D6E1D"/>
    <w:rsid w:val="5E7701EB"/>
    <w:rsid w:val="618C17C7"/>
    <w:rsid w:val="61F21F72"/>
    <w:rsid w:val="62287742"/>
    <w:rsid w:val="622B7232"/>
    <w:rsid w:val="62514EEA"/>
    <w:rsid w:val="62913539"/>
    <w:rsid w:val="6372336A"/>
    <w:rsid w:val="637D586B"/>
    <w:rsid w:val="63D35B5A"/>
    <w:rsid w:val="64065BD5"/>
    <w:rsid w:val="642D0689"/>
    <w:rsid w:val="652A65EF"/>
    <w:rsid w:val="654A053B"/>
    <w:rsid w:val="664663E8"/>
    <w:rsid w:val="67236729"/>
    <w:rsid w:val="67315764"/>
    <w:rsid w:val="68264053"/>
    <w:rsid w:val="68CC62F2"/>
    <w:rsid w:val="68FB795E"/>
    <w:rsid w:val="691F4FA3"/>
    <w:rsid w:val="6A0E21C8"/>
    <w:rsid w:val="6A2C5F7D"/>
    <w:rsid w:val="6A9C2D8E"/>
    <w:rsid w:val="6B935FA4"/>
    <w:rsid w:val="6B9B0D87"/>
    <w:rsid w:val="6BC24763"/>
    <w:rsid w:val="6BE24E05"/>
    <w:rsid w:val="6E927F5A"/>
    <w:rsid w:val="6EFA4AB6"/>
    <w:rsid w:val="6F7F2A05"/>
    <w:rsid w:val="712A5284"/>
    <w:rsid w:val="71B92E56"/>
    <w:rsid w:val="72436D2C"/>
    <w:rsid w:val="725C6094"/>
    <w:rsid w:val="72B82D76"/>
    <w:rsid w:val="72CB03A1"/>
    <w:rsid w:val="73335F46"/>
    <w:rsid w:val="7338355D"/>
    <w:rsid w:val="737610A6"/>
    <w:rsid w:val="741E09A4"/>
    <w:rsid w:val="7456013E"/>
    <w:rsid w:val="75720FA8"/>
    <w:rsid w:val="758D4034"/>
    <w:rsid w:val="76437C4F"/>
    <w:rsid w:val="76472434"/>
    <w:rsid w:val="77057BFA"/>
    <w:rsid w:val="77857E26"/>
    <w:rsid w:val="794C25B3"/>
    <w:rsid w:val="79CD0E2F"/>
    <w:rsid w:val="7A3D359D"/>
    <w:rsid w:val="7A721DC3"/>
    <w:rsid w:val="7B111CB4"/>
    <w:rsid w:val="7B3E7662"/>
    <w:rsid w:val="7BC77B74"/>
    <w:rsid w:val="7BF4003F"/>
    <w:rsid w:val="7C036DFE"/>
    <w:rsid w:val="7E6873EC"/>
    <w:rsid w:val="7F400E5B"/>
    <w:rsid w:val="7F637BB3"/>
    <w:rsid w:val="7FA00D67"/>
    <w:rsid w:val="7FAE2D7E"/>
    <w:rsid w:val="7FD0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32"/>
      <w:ind w:left="187" w:right="216"/>
      <w:jc w:val="center"/>
      <w:outlineLvl w:val="0"/>
    </w:pPr>
    <w:rPr>
      <w:b/>
      <w:bCs/>
      <w:sz w:val="31"/>
      <w:szCs w:val="31"/>
    </w:rPr>
  </w:style>
  <w:style w:type="paragraph" w:styleId="3">
    <w:name w:val="heading 2"/>
    <w:basedOn w:val="1"/>
    <w:next w:val="1"/>
    <w:link w:val="23"/>
    <w:qFormat/>
    <w:uiPriority w:val="1"/>
    <w:pPr>
      <w:ind w:left="777"/>
      <w:outlineLvl w:val="1"/>
    </w:pPr>
    <w:rPr>
      <w:b/>
      <w:bCs/>
      <w:sz w:val="21"/>
      <w:szCs w:val="21"/>
    </w:rPr>
  </w:style>
  <w:style w:type="paragraph" w:styleId="4">
    <w:name w:val="heading 3"/>
    <w:basedOn w:val="1"/>
    <w:next w:val="1"/>
    <w:qFormat/>
    <w:uiPriority w:val="1"/>
    <w:pPr>
      <w:ind w:left="100"/>
      <w:outlineLvl w:val="2"/>
    </w:pPr>
    <w:rPr>
      <w:b/>
      <w:bCs/>
      <w:sz w:val="19"/>
      <w:szCs w:val="19"/>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autoSpaceDE/>
      <w:autoSpaceDN/>
      <w:ind w:firstLine="420" w:firstLineChars="200"/>
      <w:jc w:val="both"/>
    </w:pPr>
    <w:rPr>
      <w:rFonts w:ascii="Calibri" w:hAnsi="Calibri" w:cs="Times New Roman"/>
      <w:kern w:val="2"/>
      <w:sz w:val="21"/>
      <w:szCs w:val="24"/>
      <w:lang w:eastAsia="zh-CN"/>
    </w:rPr>
  </w:style>
  <w:style w:type="paragraph" w:styleId="6">
    <w:name w:val="annotation text"/>
    <w:basedOn w:val="1"/>
    <w:semiHidden/>
    <w:unhideWhenUsed/>
    <w:qFormat/>
    <w:uiPriority w:val="99"/>
  </w:style>
  <w:style w:type="paragraph" w:styleId="7">
    <w:name w:val="Body Text"/>
    <w:basedOn w:val="1"/>
    <w:next w:val="1"/>
    <w:qFormat/>
    <w:uiPriority w:val="1"/>
    <w:rPr>
      <w:sz w:val="19"/>
      <w:szCs w:val="19"/>
    </w:rPr>
  </w:style>
  <w:style w:type="paragraph" w:styleId="8">
    <w:name w:val="footer"/>
    <w:basedOn w:val="1"/>
    <w:unhideWhenUsed/>
    <w:qFormat/>
    <w:uiPriority w:val="99"/>
    <w:pPr>
      <w:tabs>
        <w:tab w:val="center" w:pos="4153"/>
        <w:tab w:val="right" w:pos="8306"/>
      </w:tabs>
      <w:snapToGrid w:val="0"/>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pPr>
    <w:rPr>
      <w:rFonts w:cs="Times New Roman"/>
      <w:sz w:val="24"/>
      <w:lang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7" w:hanging="239"/>
    </w:pPr>
  </w:style>
  <w:style w:type="paragraph" w:customStyle="1" w:styleId="18">
    <w:name w:val="Table Paragraph"/>
    <w:basedOn w:val="1"/>
    <w:qFormat/>
    <w:uiPriority w:val="1"/>
  </w:style>
  <w:style w:type="paragraph" w:customStyle="1" w:styleId="19">
    <w:name w:val="A正文①"/>
    <w:basedOn w:val="1"/>
    <w:qFormat/>
    <w:uiPriority w:val="0"/>
    <w:pPr>
      <w:snapToGrid w:val="0"/>
      <w:spacing w:line="360" w:lineRule="auto"/>
    </w:pPr>
    <w:rPr>
      <w:rFonts w:ascii="Calibri" w:hAnsi="Calibri"/>
    </w:rPr>
  </w:style>
  <w:style w:type="character" w:customStyle="1" w:styleId="20">
    <w:name w:val="fontstyle01"/>
    <w:basedOn w:val="13"/>
    <w:qFormat/>
    <w:uiPriority w:val="0"/>
    <w:rPr>
      <w:rFonts w:hint="eastAsia" w:ascii="宋体" w:hAnsi="宋体" w:eastAsia="宋体"/>
      <w:color w:val="000000"/>
      <w:sz w:val="20"/>
      <w:szCs w:val="20"/>
    </w:rPr>
  </w:style>
  <w:style w:type="paragraph" w:customStyle="1" w:styleId="21">
    <w:name w:val="p15"/>
    <w:basedOn w:val="1"/>
    <w:qFormat/>
    <w:uiPriority w:val="0"/>
    <w:pPr>
      <w:widowControl/>
      <w:spacing w:after="312"/>
      <w:ind w:left="200" w:hanging="420"/>
    </w:pPr>
    <w:rPr>
      <w:rFonts w:ascii="Calibri" w:hAnsi="Calibri"/>
      <w:szCs w:val="21"/>
    </w:rPr>
  </w:style>
  <w:style w:type="paragraph" w:customStyle="1" w:styleId="22">
    <w:name w:val="正文-样本"/>
    <w:basedOn w:val="3"/>
    <w:link w:val="24"/>
    <w:qFormat/>
    <w:uiPriority w:val="1"/>
    <w:pPr>
      <w:spacing w:line="360" w:lineRule="auto"/>
      <w:ind w:left="0"/>
      <w:jc w:val="both"/>
      <w:outlineLvl w:val="9"/>
    </w:pPr>
    <w:rPr>
      <w:rFonts w:ascii="黑体" w:hAnsi="黑体" w:eastAsia="仿宋" w:cs="黑体"/>
      <w:sz w:val="28"/>
      <w:szCs w:val="24"/>
      <w:lang w:eastAsia="zh-CN"/>
    </w:rPr>
  </w:style>
  <w:style w:type="character" w:customStyle="1" w:styleId="23">
    <w:name w:val="标题 2 字符"/>
    <w:basedOn w:val="13"/>
    <w:link w:val="3"/>
    <w:qFormat/>
    <w:uiPriority w:val="1"/>
    <w:rPr>
      <w:rFonts w:ascii="宋体" w:hAnsi="宋体" w:cs="宋体"/>
      <w:b/>
      <w:bCs/>
      <w:sz w:val="21"/>
      <w:szCs w:val="21"/>
      <w:lang w:eastAsia="en-US"/>
    </w:rPr>
  </w:style>
  <w:style w:type="character" w:customStyle="1" w:styleId="24">
    <w:name w:val="正文-样本 字符"/>
    <w:basedOn w:val="23"/>
    <w:link w:val="22"/>
    <w:qFormat/>
    <w:uiPriority w:val="1"/>
    <w:rPr>
      <w:rFonts w:ascii="黑体" w:hAnsi="黑体" w:eastAsia="仿宋" w:cs="黑体"/>
      <w:sz w:val="28"/>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35</Pages>
  <Words>8135</Words>
  <Characters>8783</Characters>
  <Lines>174</Lines>
  <Paragraphs>49</Paragraphs>
  <TotalTime>7</TotalTime>
  <ScaleCrop>false</ScaleCrop>
  <LinksUpToDate>false</LinksUpToDate>
  <CharactersWithSpaces>8879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2026-05-07T02:28:00Z</dcterms:created>
  <dc:creator>Administrator</dc:creator>
  <cp:lastModifiedBy>贾新</cp:lastModifiedBy>
  <cp:lastPrinted>2025-02-19T07:24:00Z</cp:lastPrinted>
  <dcterms:modified xsi:type="dcterms:W3CDTF">2026-05-20T02:21:34Z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2052-12.1.0.26375</vt:lpwstr>
  </property>
  <property fmtid="{D5CDD505-2E9C-101B-9397-08002B2CF9AE}" pid="6" name="ICV">
    <vt:lpwstr>E696A2924F5B4FB6B54802BBB3C32512_13</vt:lpwstr>
  </property>
  <property fmtid="{D5CDD505-2E9C-101B-9397-08002B2CF9AE}" pid="7" name="KSOTemplateDocerSaveRecord">
    <vt:lpwstr>eyJoZGlkIjoiZTYwMjU3ZGQ1OTY4MDFkYmI0NTViODQ3MWUxYjlhNzYiLCJ1c2VySWQiOiIzOTEyODMyMjQifQ==</vt:lpwstr>
  </property>
</Properties>
</file>