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71A06">
      <w:pPr>
        <w:pStyle w:val="165"/>
        <w:jc w:val="center"/>
        <w:rPr>
          <w:rFonts w:hint="eastAsia"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巴彦淖尔市医院胃肠外科</w:t>
      </w:r>
      <w:r>
        <w:rPr>
          <w:rFonts w:hint="eastAsia" w:ascii="微软雅黑" w:hAnsi="微软雅黑" w:eastAsia="微软雅黑" w:cs="微软雅黑"/>
          <w:b/>
          <w:bCs/>
          <w:color w:val="0070C0"/>
          <w:sz w:val="32"/>
          <w:szCs w:val="32"/>
        </w:rPr>
        <w:t>标准化科研全流程体系</w:t>
      </w: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建设方案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（202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 xml:space="preserve"> 版）</w:t>
      </w:r>
    </w:p>
    <w:p w14:paraId="79CA2462">
      <w:pPr>
        <w:rPr>
          <w:rFonts w:hint="eastAsia" w:ascii="仿宋" w:hAnsi="仿宋" w:eastAsia="仿宋" w:cs="仿宋"/>
          <w:sz w:val="24"/>
          <w:szCs w:val="24"/>
        </w:rPr>
      </w:pPr>
      <w:bookmarkStart w:id="0" w:name="巴彦淖尔市医院胃肠外科科研项目标准化生产线建设方案增强版"/>
    </w:p>
    <w:p w14:paraId="14254342">
      <w:pPr>
        <w:pStyle w:val="4"/>
        <w:rPr>
          <w:rFonts w:hint="eastAsia" w:ascii="黑体" w:hAnsi="黑体" w:eastAsia="黑体" w:cs="黑体"/>
          <w:sz w:val="28"/>
          <w:szCs w:val="28"/>
        </w:rPr>
      </w:pPr>
      <w:bookmarkStart w:id="1" w:name="第一章-总则"/>
      <w:r>
        <w:rPr>
          <w:rFonts w:hint="eastAsia" w:ascii="黑体" w:hAnsi="黑体" w:eastAsia="黑体" w:cs="黑体"/>
          <w:sz w:val="28"/>
          <w:szCs w:val="28"/>
        </w:rPr>
        <w:t>第一章 总则</w:t>
      </w:r>
    </w:p>
    <w:p w14:paraId="6372253C">
      <w:pPr>
        <w:rPr>
          <w:rFonts w:hint="eastAsia" w:ascii="黑体" w:hAnsi="黑体" w:eastAsia="黑体" w:cs="黑体"/>
          <w:b/>
          <w:bCs/>
          <w:sz w:val="24"/>
          <w:szCs w:val="24"/>
        </w:rPr>
      </w:pPr>
    </w:p>
    <w:p w14:paraId="5941DEF7">
      <w:pPr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一、目的</w:t>
      </w:r>
    </w:p>
    <w:p w14:paraId="60AE5A5F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为提升胃肠外科科研工作的规范化、系统化和可持续产出能力，构建可复用、可量化、可推广的科研全过程标准化体系，强化方法学设计、数据质量、统计规范、成果产出与转化效率，特制定本方案。该体系旨在解决“科研流程不清晰、质量不稳定、产出不连续”的长期瓶颈，推动科研从经验驱动转向体系驱动。</w:t>
      </w:r>
    </w:p>
    <w:p w14:paraId="2065353A">
      <w:pPr>
        <w:numPr>
          <w:ilvl w:val="0"/>
          <w:numId w:val="7"/>
        </w:numPr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核心术语定义</w:t>
      </w:r>
    </w:p>
    <w:p w14:paraId="4CC15A2F">
      <w:pPr>
        <w:numPr>
          <w:numId w:val="0"/>
        </w:num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标准化科研全流程体系（Standardized Research Workflow System，SRWS）是依据科研方法学、循证原则与医院科研管理规范，通过流程工程（workflow engineering）、质量控制（QC）、专家共识流程（两轮 Delphi、专家咨询会议、现场流程演示讨论会）构建的科研全过程运行体系。SRWS 将科研生命周期标准化、模块化与可复用化，覆盖选题、文献检索、研究方案、伦理与合规、数据采集与质控、统计分析、论文/专利撰写及成果转化等八大环节，是临床研究（RWS、IST、RCT）、医工交叉研究、生物医学基础研究与软科学研究的通用方法学框架。</w:t>
      </w:r>
    </w:p>
    <w:p w14:paraId="31890CE3">
      <w:pPr>
        <w:rPr>
          <w:rFonts w:hint="eastAsia" w:ascii="黑体" w:hAnsi="黑体" w:eastAsia="黑体" w:cs="黑体"/>
          <w:b/>
          <w:bCs/>
          <w:sz w:val="24"/>
          <w:szCs w:val="24"/>
        </w:rPr>
      </w:pPr>
      <w:r>
        <w:rPr>
          <w:rFonts w:hint="eastAsia" w:ascii="黑体" w:hAnsi="黑体" w:eastAsia="黑体" w:cs="黑体"/>
          <w:b/>
          <w:bCs/>
          <w:sz w:val="24"/>
          <w:szCs w:val="24"/>
        </w:rPr>
        <w:t>三、适用范围</w:t>
      </w:r>
    </w:p>
    <w:p w14:paraId="1A4A760C">
      <w:pPr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本体系适用于胃肠外科所有科研活动，涵盖：</w:t>
      </w:r>
    </w:p>
    <w:p w14:paraId="1D7DE2BF">
      <w:pPr>
        <w:numPr>
          <w:ilvl w:val="0"/>
          <w:numId w:val="8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真实世界研究（RWS）</w:t>
      </w:r>
    </w:p>
    <w:p w14:paraId="54E2CF60">
      <w:pPr>
        <w:numPr>
          <w:ilvl w:val="0"/>
          <w:numId w:val="8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前瞻性研究（IST）</w:t>
      </w:r>
    </w:p>
    <w:p w14:paraId="5D061D67">
      <w:pPr>
        <w:numPr>
          <w:ilvl w:val="0"/>
          <w:numId w:val="8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随机对照试验（RCT）</w:t>
      </w:r>
    </w:p>
    <w:p w14:paraId="366477F3">
      <w:pPr>
        <w:numPr>
          <w:ilvl w:val="0"/>
          <w:numId w:val="8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医工交叉工程类研究</w:t>
      </w:r>
    </w:p>
    <w:p w14:paraId="2C992C61">
      <w:pPr>
        <w:numPr>
          <w:ilvl w:val="0"/>
          <w:numId w:val="8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生物医学基础研究（细胞/动物实验）</w:t>
      </w:r>
    </w:p>
    <w:p w14:paraId="0F9A54B8">
      <w:pPr>
        <w:numPr>
          <w:ilvl w:val="0"/>
          <w:numId w:val="8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软科学研究与学科建设研究</w:t>
      </w:r>
    </w:p>
    <w:p w14:paraId="4812F9D0">
      <w:pPr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四、基本原则</w:t>
      </w:r>
    </w:p>
    <w:p w14:paraId="27D83522">
      <w:pPr>
        <w:numPr>
          <w:ilvl w:val="0"/>
          <w:numId w:val="9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四项前置化原则：</w:t>
      </w:r>
      <w:r>
        <w:rPr>
          <w:rFonts w:hint="eastAsia" w:ascii="仿宋" w:hAnsi="仿宋" w:eastAsia="仿宋" w:cs="仿宋"/>
          <w:sz w:val="24"/>
          <w:szCs w:val="24"/>
        </w:rPr>
        <w:t>选题前置、方案前置、统计前置、写作前置。</w:t>
      </w:r>
    </w:p>
    <w:p w14:paraId="52AECF72">
      <w:pPr>
        <w:numPr>
          <w:ilvl w:val="0"/>
          <w:numId w:val="9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全过程规范原则：</w:t>
      </w:r>
      <w:r>
        <w:rPr>
          <w:rFonts w:hint="eastAsia" w:ascii="仿宋" w:hAnsi="仿宋" w:eastAsia="仿宋" w:cs="仿宋"/>
          <w:sz w:val="24"/>
          <w:szCs w:val="24"/>
        </w:rPr>
        <w:t>方案–伦理–数据–统计–产出全链条质量控制。</w:t>
      </w:r>
    </w:p>
    <w:p w14:paraId="7ED3DA1D">
      <w:pPr>
        <w:numPr>
          <w:ilvl w:val="0"/>
          <w:numId w:val="9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透明化原则：</w:t>
      </w:r>
      <w:r>
        <w:rPr>
          <w:rFonts w:hint="eastAsia" w:ascii="仿宋" w:hAnsi="仿宋" w:eastAsia="仿宋" w:cs="仿宋"/>
          <w:sz w:val="24"/>
          <w:szCs w:val="24"/>
        </w:rPr>
        <w:t>所有操作均可溯源、可审核、可再现。</w:t>
      </w:r>
    </w:p>
    <w:p w14:paraId="2C97E929">
      <w:pPr>
        <w:numPr>
          <w:ilvl w:val="0"/>
          <w:numId w:val="9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数据可信原则：</w:t>
      </w:r>
      <w:r>
        <w:rPr>
          <w:rFonts w:hint="eastAsia" w:ascii="仿宋" w:hAnsi="仿宋" w:eastAsia="仿宋" w:cs="仿宋"/>
          <w:sz w:val="24"/>
          <w:szCs w:val="24"/>
        </w:rPr>
        <w:t>严格遵循 ICH-GCP、ISO 14155 数据质量要求。</w:t>
      </w:r>
    </w:p>
    <w:p w14:paraId="706E9122">
      <w:pPr>
        <w:numPr>
          <w:ilvl w:val="0"/>
          <w:numId w:val="9"/>
        </w:numPr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持续改进原则：</w:t>
      </w:r>
      <w:r>
        <w:rPr>
          <w:rFonts w:hint="eastAsia" w:ascii="仿宋" w:hAnsi="仿宋" w:eastAsia="仿宋" w:cs="仿宋"/>
          <w:sz w:val="24"/>
          <w:szCs w:val="24"/>
        </w:rPr>
        <w:t>按照 PDCA 循环持续优化体系。</w:t>
      </w:r>
    </w:p>
    <w:bookmarkEnd w:id="1"/>
    <w:p w14:paraId="2FC3B976">
      <w:pPr>
        <w:pStyle w:val="4"/>
        <w:bidi w:val="0"/>
        <w:rPr>
          <w:rFonts w:hint="eastAsia" w:ascii="黑体" w:hAnsi="黑体" w:eastAsia="黑体" w:cs="黑体"/>
          <w:sz w:val="28"/>
          <w:szCs w:val="28"/>
        </w:rPr>
      </w:pPr>
      <w:bookmarkStart w:id="2" w:name="第二章-管理架构"/>
      <w:bookmarkStart w:id="3" w:name="科研生产线总控委员会sspl-steering-committee"/>
      <w:r>
        <w:rPr>
          <w:rFonts w:hint="eastAsia" w:ascii="黑体" w:hAnsi="黑体" w:eastAsia="黑体" w:cs="黑体"/>
          <w:sz w:val="28"/>
          <w:szCs w:val="28"/>
        </w:rPr>
        <w:t>第二章 组织架构与职责</w:t>
      </w:r>
    </w:p>
    <w:p w14:paraId="5D10E653">
      <w:pPr>
        <w:pStyle w:val="30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标准化科研全流程体系（SRWS）的运行依托“顶层规划—流程执行—质量控制—管理监督”四层结构，确保科研活动规范、高效、可持续。本章对组织结构及职责进行明确规定。</w:t>
      </w:r>
    </w:p>
    <w:p w14:paraId="1E229D7C">
      <w:pPr>
        <w:pStyle w:val="5"/>
        <w:bidi w:val="0"/>
        <w:rPr>
          <w:sz w:val="24"/>
          <w:szCs w:val="24"/>
        </w:rPr>
      </w:pPr>
      <w:r>
        <w:rPr>
          <w:rStyle w:val="134"/>
          <w:b/>
          <w:bCs w:val="0"/>
          <w:sz w:val="24"/>
          <w:szCs w:val="24"/>
        </w:rPr>
        <w:t>一、总体组织体系架构</w:t>
      </w:r>
    </w:p>
    <w:p w14:paraId="714B28D6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的建设与运行由“四级组织体系”构成：</w:t>
      </w:r>
    </w:p>
    <w:p w14:paraId="69CF6462">
      <w:pPr>
        <w:pStyle w:val="30"/>
        <w:keepNext w:val="0"/>
        <w:keepLines w:val="0"/>
        <w:widowControl/>
        <w:numPr>
          <w:ilvl w:val="0"/>
          <w:numId w:val="1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SRWS 体系建设委员会（SRWS Steering Committee, SRWS-SC）</w:t>
      </w:r>
      <w:r>
        <w:rPr>
          <w:rStyle w:val="134"/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负责体系顶层设计、年度升级、跨课题策略制定及质量监督。</w:t>
      </w:r>
    </w:p>
    <w:p w14:paraId="1776AA69">
      <w:pPr>
        <w:pStyle w:val="30"/>
        <w:keepNext w:val="0"/>
        <w:keepLines w:val="0"/>
        <w:widowControl/>
        <w:numPr>
          <w:ilvl w:val="0"/>
          <w:numId w:val="1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课题负责人（PI）及科研团队</w:t>
      </w:r>
      <w:r>
        <w:rPr>
          <w:rStyle w:val="134"/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负责具体研究项目的设计、实施、数据与成果产出。</w:t>
      </w:r>
    </w:p>
    <w:p w14:paraId="5C179678">
      <w:pPr>
        <w:pStyle w:val="30"/>
        <w:keepNext w:val="0"/>
        <w:keepLines w:val="0"/>
        <w:widowControl/>
        <w:numPr>
          <w:ilvl w:val="0"/>
          <w:numId w:val="1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科研助理团队（Research Assistant, RA）</w:t>
      </w:r>
      <w:r>
        <w:rPr>
          <w:rStyle w:val="134"/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负责流程推进、文献/数据/统计协助、CRF 管理和执行质量控制。</w:t>
      </w:r>
    </w:p>
    <w:p w14:paraId="5228AA14">
      <w:pPr>
        <w:pStyle w:val="30"/>
        <w:keepNext w:val="0"/>
        <w:keepLines w:val="0"/>
        <w:widowControl/>
        <w:numPr>
          <w:ilvl w:val="0"/>
          <w:numId w:val="1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医院科研管理部门（科研办、伦理委员会、信息与数据管理部门）</w:t>
      </w:r>
      <w:r>
        <w:rPr>
          <w:rStyle w:val="134"/>
          <w:rFonts w:hint="eastAsia" w:ascii="仿宋" w:hAnsi="仿宋" w:eastAsia="仿宋" w:cs="仿宋"/>
          <w:sz w:val="24"/>
          <w:szCs w:val="24"/>
          <w:lang w:eastAsia="zh-CN"/>
        </w:rPr>
        <w:t>：</w:t>
      </w:r>
      <w:r>
        <w:rPr>
          <w:rFonts w:hint="eastAsia" w:ascii="仿宋" w:hAnsi="仿宋" w:eastAsia="仿宋" w:cs="仿宋"/>
          <w:sz w:val="24"/>
          <w:szCs w:val="24"/>
        </w:rPr>
        <w:t>负责科研合规、伦理伦理审查、数据授权与制度性监管。</w:t>
      </w:r>
    </w:p>
    <w:p w14:paraId="72C62295">
      <w:pPr>
        <w:pStyle w:val="5"/>
        <w:bidi w:val="0"/>
        <w:rPr>
          <w:sz w:val="24"/>
          <w:szCs w:val="24"/>
        </w:rPr>
      </w:pPr>
      <w:r>
        <w:rPr>
          <w:rStyle w:val="134"/>
          <w:b/>
          <w:bCs w:val="0"/>
          <w:sz w:val="24"/>
          <w:szCs w:val="24"/>
        </w:rPr>
        <w:t>二、SRWS 体系建设委员会（SRWS-SC）</w:t>
      </w:r>
    </w:p>
    <w:p w14:paraId="0585ECCE">
      <w:pPr>
        <w:bidi w:val="0"/>
        <w:rPr>
          <w:sz w:val="24"/>
          <w:szCs w:val="24"/>
        </w:rPr>
      </w:pPr>
      <w:r>
        <w:rPr>
          <w:rFonts w:hint="eastAsia" w:ascii="黑体" w:hAnsi="黑体" w:eastAsia="黑体" w:cs="黑体"/>
          <w:b/>
          <w:bCs/>
        </w:rPr>
        <w:t>（一）组成</w:t>
      </w:r>
      <w:r>
        <w:rPr>
          <w:rFonts w:hint="eastAsia" w:ascii="黑体" w:hAnsi="黑体" w:eastAsia="黑体" w:cs="黑体"/>
          <w:b/>
          <w:bCs/>
          <w:lang w:eastAsia="zh-CN"/>
        </w:rPr>
        <w:t>：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</w:rPr>
        <w:t>由学科带头人、科主任、科研骨干、统计人员、科研助理负责人和科研办代表构成。</w:t>
      </w:r>
    </w:p>
    <w:p w14:paraId="7704E32F">
      <w:pPr>
        <w:bidi w:val="0"/>
        <w:rPr>
          <w:rFonts w:hint="eastAsia" w:ascii="黑体" w:hAnsi="黑体" w:eastAsia="黑体" w:cs="黑体"/>
          <w:b/>
          <w:bCs/>
          <w:color w:val="auto"/>
        </w:rPr>
      </w:pPr>
      <w:r>
        <w:rPr>
          <w:rFonts w:hint="eastAsia" w:ascii="黑体" w:hAnsi="黑体" w:eastAsia="黑体" w:cs="黑体"/>
          <w:b/>
          <w:bCs/>
          <w:color w:val="auto"/>
        </w:rPr>
        <w:t>（二）主要职责</w:t>
      </w:r>
    </w:p>
    <w:p w14:paraId="696A40C0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制定 SRWS 顶层框架、模块标准与升级计划。</w:t>
      </w:r>
    </w:p>
    <w:p w14:paraId="3B3602B9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组织实施“两轮 Delphi + 专家咨询会议 + 现场流程演示讨论会”，形成体系共识。</w:t>
      </w:r>
    </w:p>
    <w:p w14:paraId="45051F35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发布《SRWS 年度更新版》与《年度评估报告》。</w:t>
      </w:r>
    </w:p>
    <w:p w14:paraId="09DEAB31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指导各课题实施 SRWS，解决跨课题共性问题。</w:t>
      </w:r>
    </w:p>
    <w:p w14:paraId="3B042655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审核课题 T0–T4 阶段流程、质控报告与最终成果。</w:t>
      </w:r>
    </w:p>
    <w:p w14:paraId="43A94694">
      <w:pPr>
        <w:pStyle w:val="30"/>
        <w:keepNext w:val="0"/>
        <w:keepLines w:val="0"/>
        <w:widowControl/>
        <w:numPr>
          <w:ilvl w:val="0"/>
          <w:numId w:val="1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负责 SRWS 的跨科室推广与外部合作。</w:t>
      </w:r>
    </w:p>
    <w:p w14:paraId="74C4162C">
      <w:pPr>
        <w:pStyle w:val="5"/>
        <w:bidi w:val="0"/>
        <w:rPr>
          <w:sz w:val="24"/>
          <w:szCs w:val="24"/>
        </w:rPr>
      </w:pPr>
      <w:r>
        <w:rPr>
          <w:rStyle w:val="134"/>
          <w:b/>
          <w:bCs w:val="0"/>
          <w:sz w:val="24"/>
          <w:szCs w:val="24"/>
        </w:rPr>
        <w:t>三、课题负责人（PI）及科研团队</w:t>
      </w:r>
    </w:p>
    <w:p w14:paraId="066F59E3">
      <w:pPr>
        <w:bidi w:val="0"/>
        <w:rPr>
          <w:b/>
          <w:bCs/>
        </w:rPr>
      </w:pPr>
      <w:r>
        <w:rPr>
          <w:b/>
          <w:bCs/>
        </w:rPr>
        <w:t>（一）课题负责人（PI）职责</w:t>
      </w:r>
    </w:p>
    <w:p w14:paraId="0BFB77B1">
      <w:pPr>
        <w:pStyle w:val="30"/>
        <w:keepNext w:val="0"/>
        <w:keepLines w:val="0"/>
        <w:widowControl/>
        <w:numPr>
          <w:ilvl w:val="0"/>
          <w:numId w:val="1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提出科研问题与具体研究目标。</w:t>
      </w:r>
    </w:p>
    <w:p w14:paraId="5E036FA9">
      <w:pPr>
        <w:pStyle w:val="30"/>
        <w:keepNext w:val="0"/>
        <w:keepLines w:val="0"/>
        <w:widowControl/>
        <w:numPr>
          <w:ilvl w:val="0"/>
          <w:numId w:val="1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主导研究设计、方案制定、统计分析计划（SAP）与写作框架（MSK）。</w:t>
      </w:r>
    </w:p>
    <w:p w14:paraId="15CF7E7A">
      <w:pPr>
        <w:pStyle w:val="30"/>
        <w:keepNext w:val="0"/>
        <w:keepLines w:val="0"/>
        <w:widowControl/>
        <w:numPr>
          <w:ilvl w:val="0"/>
          <w:numId w:val="1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保障课题进度，分配任务，协调资源。</w:t>
      </w:r>
    </w:p>
    <w:p w14:paraId="23007A9B">
      <w:pPr>
        <w:pStyle w:val="30"/>
        <w:keepNext w:val="0"/>
        <w:keepLines w:val="0"/>
        <w:widowControl/>
        <w:numPr>
          <w:ilvl w:val="0"/>
          <w:numId w:val="1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审核 CRF、原始数据、统计结果与稿件。</w:t>
      </w:r>
    </w:p>
    <w:p w14:paraId="3B531EEB">
      <w:pPr>
        <w:pStyle w:val="30"/>
        <w:keepNext w:val="0"/>
        <w:keepLines w:val="0"/>
        <w:widowControl/>
        <w:numPr>
          <w:ilvl w:val="0"/>
          <w:numId w:val="1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组织研究团队执行 SRWS 的各项要求。</w:t>
      </w:r>
    </w:p>
    <w:p w14:paraId="04CDE4EB">
      <w:pPr>
        <w:pStyle w:val="30"/>
        <w:keepNext w:val="0"/>
        <w:keepLines w:val="0"/>
        <w:widowControl/>
        <w:numPr>
          <w:ilvl w:val="0"/>
          <w:numId w:val="1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对课题质量、安全、伦理和成果负责。</w:t>
      </w:r>
    </w:p>
    <w:p w14:paraId="2F75A4E8">
      <w:pPr>
        <w:bidi w:val="0"/>
        <w:rPr>
          <w:b/>
          <w:bCs/>
        </w:rPr>
      </w:pPr>
      <w:r>
        <w:rPr>
          <w:b/>
          <w:bCs/>
        </w:rPr>
        <w:t>（二）科研团队职责</w:t>
      </w:r>
    </w:p>
    <w:p w14:paraId="1B5567CE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包括主治及以上医师、研究护士、统计人员、数据管理员等：</w:t>
      </w:r>
    </w:p>
    <w:p w14:paraId="2FE6487F">
      <w:pPr>
        <w:pStyle w:val="30"/>
        <w:keepNext w:val="0"/>
        <w:keepLines w:val="0"/>
        <w:widowControl/>
        <w:numPr>
          <w:ilvl w:val="0"/>
          <w:numId w:val="1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协助完成病历筛选、数据采集、随访、文献整理。</w:t>
      </w:r>
    </w:p>
    <w:p w14:paraId="68A7DE9D">
      <w:pPr>
        <w:pStyle w:val="30"/>
        <w:keepNext w:val="0"/>
        <w:keepLines w:val="0"/>
        <w:widowControl/>
        <w:numPr>
          <w:ilvl w:val="0"/>
          <w:numId w:val="1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根据 SRWS 要求执行 CRF 填写、QC 质控、数据核对等工作。</w:t>
      </w:r>
    </w:p>
    <w:p w14:paraId="441CC7DB">
      <w:pPr>
        <w:pStyle w:val="30"/>
        <w:keepNext w:val="0"/>
        <w:keepLines w:val="0"/>
        <w:widowControl/>
        <w:numPr>
          <w:ilvl w:val="0"/>
          <w:numId w:val="1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配合完成统计学分析、图表绘制以及文章初稿。</w:t>
      </w:r>
    </w:p>
    <w:p w14:paraId="62548CBE">
      <w:pPr>
        <w:pStyle w:val="5"/>
        <w:bidi w:val="0"/>
        <w:rPr>
          <w:sz w:val="24"/>
          <w:szCs w:val="24"/>
        </w:rPr>
      </w:pPr>
      <w:r>
        <w:rPr>
          <w:rStyle w:val="134"/>
          <w:b/>
          <w:bCs w:val="0"/>
          <w:sz w:val="24"/>
          <w:szCs w:val="24"/>
        </w:rPr>
        <w:t>四、科研助理团队（RA）</w:t>
      </w:r>
    </w:p>
    <w:p w14:paraId="019C826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科研助理是 SRWS 的“流程枢纽”，承担关键的流程化、结构化工作。</w:t>
      </w:r>
    </w:p>
    <w:p w14:paraId="102DF517">
      <w:pPr>
        <w:bidi w:val="0"/>
        <w:rPr>
          <w:b/>
          <w:bCs/>
        </w:rPr>
      </w:pPr>
      <w:r>
        <w:rPr>
          <w:b/>
          <w:bCs/>
        </w:rPr>
        <w:t>（一）主要职责</w:t>
      </w:r>
    </w:p>
    <w:p w14:paraId="00818902">
      <w:pPr>
        <w:pStyle w:val="30"/>
        <w:keepNext w:val="0"/>
        <w:keepLines w:val="0"/>
        <w:widowControl/>
        <w:numPr>
          <w:ilvl w:val="0"/>
          <w:numId w:val="1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组织 T0–T3 前置会议（选题、方案、统计、写作）。</w:t>
      </w:r>
    </w:p>
    <w:p w14:paraId="76400939">
      <w:pPr>
        <w:pStyle w:val="30"/>
        <w:keepNext w:val="0"/>
        <w:keepLines w:val="0"/>
        <w:widowControl/>
        <w:numPr>
          <w:ilvl w:val="0"/>
          <w:numId w:val="1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完成文献检索、证据提取、PRISMA 流程管理。</w:t>
      </w:r>
    </w:p>
    <w:p w14:paraId="0710484D">
      <w:pPr>
        <w:pStyle w:val="30"/>
        <w:keepNext w:val="0"/>
        <w:keepLines w:val="0"/>
        <w:widowControl/>
        <w:numPr>
          <w:ilvl w:val="0"/>
          <w:numId w:val="1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构建数据字典、CRF 模板并维护数据库。</w:t>
      </w:r>
    </w:p>
    <w:p w14:paraId="1D15B4D3">
      <w:pPr>
        <w:pStyle w:val="30"/>
        <w:keepNext w:val="0"/>
        <w:keepLines w:val="0"/>
        <w:widowControl/>
        <w:numPr>
          <w:ilvl w:val="0"/>
          <w:numId w:val="1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完成数据清洗、逻辑校验、缺失值处理（QC-1 至 QC-4）。</w:t>
      </w:r>
    </w:p>
    <w:p w14:paraId="24B46832">
      <w:pPr>
        <w:pStyle w:val="30"/>
        <w:keepNext w:val="0"/>
        <w:keepLines w:val="0"/>
        <w:widowControl/>
        <w:numPr>
          <w:ilvl w:val="0"/>
          <w:numId w:val="1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协助统计人员完成分析数据集（ADS）准备。</w:t>
      </w:r>
    </w:p>
    <w:p w14:paraId="5E86BF1F">
      <w:pPr>
        <w:pStyle w:val="30"/>
        <w:keepNext w:val="0"/>
        <w:keepLines w:val="0"/>
        <w:widowControl/>
        <w:numPr>
          <w:ilvl w:val="0"/>
          <w:numId w:val="1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维护项目审计追踪（Audit Trail）、文件归档。</w:t>
      </w:r>
    </w:p>
    <w:p w14:paraId="39610CC1">
      <w:pPr>
        <w:pStyle w:val="30"/>
        <w:keepNext w:val="0"/>
        <w:keepLines w:val="0"/>
        <w:widowControl/>
        <w:numPr>
          <w:ilvl w:val="0"/>
          <w:numId w:val="1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协助撰写论文结构、图表、参考文献格式化。</w:t>
      </w:r>
    </w:p>
    <w:p w14:paraId="5703DB0D">
      <w:pPr>
        <w:bidi w:val="0"/>
        <w:rPr>
          <w:b/>
          <w:bCs/>
        </w:rPr>
      </w:pPr>
      <w:r>
        <w:rPr>
          <w:b/>
          <w:bCs/>
        </w:rPr>
        <w:t>（二）能力要求</w:t>
      </w:r>
    </w:p>
    <w:p w14:paraId="4647CC3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RA 必须具备以下三类能力：</w:t>
      </w:r>
    </w:p>
    <w:p w14:paraId="4AA45FB8">
      <w:pPr>
        <w:pStyle w:val="30"/>
        <w:keepNext w:val="0"/>
        <w:keepLines w:val="0"/>
        <w:widowControl/>
        <w:numPr>
          <w:ilvl w:val="0"/>
          <w:numId w:val="15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文献检索（PubMed、Cochrane、CNKI 等）</w:t>
      </w:r>
    </w:p>
    <w:p w14:paraId="4D13C38B">
      <w:pPr>
        <w:pStyle w:val="30"/>
        <w:keepNext w:val="0"/>
        <w:keepLines w:val="0"/>
        <w:widowControl/>
        <w:numPr>
          <w:ilvl w:val="0"/>
          <w:numId w:val="15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数据与统计基础（R/Python/SPSS）</w:t>
      </w:r>
    </w:p>
    <w:p w14:paraId="0D7EB74F">
      <w:pPr>
        <w:pStyle w:val="30"/>
        <w:keepNext w:val="0"/>
        <w:keepLines w:val="0"/>
        <w:widowControl/>
        <w:numPr>
          <w:ilvl w:val="0"/>
          <w:numId w:val="15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规范化文件管理（SOP、CRF、GCP 基础）</w:t>
      </w:r>
    </w:p>
    <w:p w14:paraId="61FDF1D2">
      <w:pPr>
        <w:pStyle w:val="5"/>
        <w:bidi w:val="0"/>
        <w:rPr>
          <w:sz w:val="24"/>
          <w:szCs w:val="24"/>
        </w:rPr>
      </w:pPr>
      <w:r>
        <w:rPr>
          <w:rStyle w:val="134"/>
          <w:b/>
          <w:bCs w:val="0"/>
          <w:sz w:val="24"/>
          <w:szCs w:val="24"/>
        </w:rPr>
        <w:t>五、科研管理部门（科研办、伦理办、信息部门）</w:t>
      </w:r>
    </w:p>
    <w:p w14:paraId="6D6B7D4F">
      <w:pPr>
        <w:bidi w:val="0"/>
        <w:rPr>
          <w:b/>
          <w:bCs/>
        </w:rPr>
      </w:pPr>
      <w:r>
        <w:rPr>
          <w:b/>
          <w:bCs/>
        </w:rPr>
        <w:t>（一）科研办职责</w:t>
      </w:r>
    </w:p>
    <w:p w14:paraId="074B7716">
      <w:pPr>
        <w:pStyle w:val="30"/>
        <w:keepNext w:val="0"/>
        <w:keepLines w:val="0"/>
        <w:widowControl/>
        <w:numPr>
          <w:ilvl w:val="0"/>
          <w:numId w:val="16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审核课题申请、合同及预算执行。</w:t>
      </w:r>
    </w:p>
    <w:p w14:paraId="6EB24138">
      <w:pPr>
        <w:pStyle w:val="30"/>
        <w:keepNext w:val="0"/>
        <w:keepLines w:val="0"/>
        <w:widowControl/>
        <w:numPr>
          <w:ilvl w:val="0"/>
          <w:numId w:val="16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监督 SRWS 执行情况并开展年度检查。</w:t>
      </w:r>
    </w:p>
    <w:p w14:paraId="6B79468F">
      <w:pPr>
        <w:pStyle w:val="30"/>
        <w:keepNext w:val="0"/>
        <w:keepLines w:val="0"/>
        <w:widowControl/>
        <w:numPr>
          <w:ilvl w:val="0"/>
          <w:numId w:val="16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组织科研培训与制度宣传。</w:t>
      </w:r>
    </w:p>
    <w:p w14:paraId="0CD5C520">
      <w:pPr>
        <w:pStyle w:val="30"/>
        <w:keepNext w:val="0"/>
        <w:keepLines w:val="0"/>
        <w:widowControl/>
        <w:numPr>
          <w:ilvl w:val="0"/>
          <w:numId w:val="16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对接上级科研机构、医协项目和科技部门。</w:t>
      </w:r>
    </w:p>
    <w:p w14:paraId="36B8B6B6">
      <w:pPr>
        <w:bidi w:val="0"/>
        <w:rPr>
          <w:b/>
          <w:bCs/>
        </w:rPr>
      </w:pPr>
      <w:r>
        <w:rPr>
          <w:b/>
          <w:bCs/>
        </w:rPr>
        <w:t>（二）伦理委员会职责</w:t>
      </w:r>
    </w:p>
    <w:p w14:paraId="61ADCAD4">
      <w:pPr>
        <w:pStyle w:val="30"/>
        <w:keepNext w:val="0"/>
        <w:keepLines w:val="0"/>
        <w:widowControl/>
        <w:numPr>
          <w:ilvl w:val="0"/>
          <w:numId w:val="17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审查研究方案、知情同意书、CRF、数据安全性。</w:t>
      </w:r>
    </w:p>
    <w:p w14:paraId="41D9D01E">
      <w:pPr>
        <w:pStyle w:val="30"/>
        <w:keepNext w:val="0"/>
        <w:keepLines w:val="0"/>
        <w:widowControl/>
        <w:numPr>
          <w:ilvl w:val="0"/>
          <w:numId w:val="17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核实研究风险、受试者权益保障与数据隐私合规性。</w:t>
      </w:r>
    </w:p>
    <w:p w14:paraId="6410E22A">
      <w:pPr>
        <w:pStyle w:val="30"/>
        <w:keepNext w:val="0"/>
        <w:keepLines w:val="0"/>
        <w:widowControl/>
        <w:numPr>
          <w:ilvl w:val="0"/>
          <w:numId w:val="17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监督跨课题、跨部门伦理规范执行。</w:t>
      </w:r>
    </w:p>
    <w:p w14:paraId="63920627">
      <w:pPr>
        <w:bidi w:val="0"/>
        <w:rPr>
          <w:b/>
          <w:bCs/>
        </w:rPr>
      </w:pPr>
      <w:r>
        <w:rPr>
          <w:b/>
          <w:bCs/>
        </w:rPr>
        <w:t>（三）信息与数据管理部门职责</w:t>
      </w:r>
    </w:p>
    <w:p w14:paraId="07760958">
      <w:pPr>
        <w:pStyle w:val="30"/>
        <w:keepNext w:val="0"/>
        <w:keepLines w:val="0"/>
        <w:widowControl/>
        <w:numPr>
          <w:ilvl w:val="0"/>
          <w:numId w:val="1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负责数据授权、脱敏、服务器权限与日志管理。</w:t>
      </w:r>
    </w:p>
    <w:p w14:paraId="28E01292">
      <w:pPr>
        <w:pStyle w:val="30"/>
        <w:keepNext w:val="0"/>
        <w:keepLines w:val="0"/>
        <w:widowControl/>
        <w:numPr>
          <w:ilvl w:val="0"/>
          <w:numId w:val="1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协助建立电子数据采集系统（EDC）或数据接口。</w:t>
      </w:r>
    </w:p>
    <w:p w14:paraId="382972D8">
      <w:pPr>
        <w:pStyle w:val="30"/>
        <w:keepNext w:val="0"/>
        <w:keepLines w:val="0"/>
        <w:widowControl/>
        <w:numPr>
          <w:ilvl w:val="0"/>
          <w:numId w:val="1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对科研数据安全等级进行分级管理。</w:t>
      </w:r>
    </w:p>
    <w:p w14:paraId="3FDB1916">
      <w:pPr>
        <w:pStyle w:val="5"/>
        <w:bidi w:val="0"/>
        <w:rPr>
          <w:sz w:val="24"/>
          <w:szCs w:val="24"/>
        </w:rPr>
      </w:pPr>
      <w:r>
        <w:rPr>
          <w:rStyle w:val="134"/>
          <w:b/>
          <w:bCs w:val="0"/>
          <w:sz w:val="24"/>
          <w:szCs w:val="24"/>
        </w:rPr>
        <w:t>六、专家咨询体系（Delphi + 会议 + 演示）</w:t>
      </w:r>
    </w:p>
    <w:p w14:paraId="767A2606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的体系构建和年度升级必须采用“三段式共识机制”：</w:t>
      </w:r>
    </w:p>
    <w:p w14:paraId="3C06E3BA">
      <w:pPr>
        <w:bidi w:val="0"/>
        <w:rPr>
          <w:b/>
          <w:bCs/>
        </w:rPr>
      </w:pPr>
      <w:r>
        <w:rPr>
          <w:b/>
          <w:bCs/>
        </w:rPr>
        <w:t>（一）两轮 Delphi</w:t>
      </w:r>
    </w:p>
    <w:p w14:paraId="40AF110F">
      <w:pPr>
        <w:pStyle w:val="30"/>
        <w:keepNext w:val="0"/>
        <w:keepLines w:val="0"/>
        <w:widowControl/>
        <w:numPr>
          <w:ilvl w:val="0"/>
          <w:numId w:val="1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专家人数 15–20 名</w:t>
      </w:r>
    </w:p>
    <w:p w14:paraId="1DC85589">
      <w:pPr>
        <w:pStyle w:val="30"/>
        <w:keepNext w:val="0"/>
        <w:keepLines w:val="0"/>
        <w:widowControl/>
        <w:numPr>
          <w:ilvl w:val="0"/>
          <w:numId w:val="1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对模块、条目、执行流程进行量化评分</w:t>
      </w:r>
    </w:p>
    <w:p w14:paraId="1B785794">
      <w:pPr>
        <w:pStyle w:val="30"/>
        <w:keepNext w:val="0"/>
        <w:keepLines w:val="0"/>
        <w:widowControl/>
        <w:numPr>
          <w:ilvl w:val="0"/>
          <w:numId w:val="1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分析一致性、权威系数、协调系数，判断是否达成共识</w:t>
      </w:r>
    </w:p>
    <w:p w14:paraId="5274C2B9">
      <w:pPr>
        <w:bidi w:val="0"/>
        <w:rPr>
          <w:b/>
          <w:bCs/>
        </w:rPr>
      </w:pPr>
      <w:r>
        <w:rPr>
          <w:b/>
          <w:bCs/>
        </w:rPr>
        <w:t>（二）专家咨询会议</w:t>
      </w:r>
    </w:p>
    <w:p w14:paraId="6502EB1E">
      <w:pPr>
        <w:pStyle w:val="30"/>
        <w:keepNext w:val="0"/>
        <w:keepLines w:val="0"/>
        <w:widowControl/>
        <w:numPr>
          <w:ilvl w:val="0"/>
          <w:numId w:val="1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审阅 Delphi 结果</w:t>
      </w:r>
    </w:p>
    <w:p w14:paraId="573718A2">
      <w:pPr>
        <w:pStyle w:val="30"/>
        <w:keepNext w:val="0"/>
        <w:keepLines w:val="0"/>
        <w:widowControl/>
        <w:numPr>
          <w:ilvl w:val="0"/>
          <w:numId w:val="1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对体系条目进行逐项讨论</w:t>
      </w:r>
    </w:p>
    <w:p w14:paraId="56FED746">
      <w:pPr>
        <w:pStyle w:val="30"/>
        <w:keepNext w:val="0"/>
        <w:keepLines w:val="0"/>
        <w:widowControl/>
        <w:numPr>
          <w:ilvl w:val="0"/>
          <w:numId w:val="1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确认最终的 SRWS 年度版本</w:t>
      </w:r>
    </w:p>
    <w:p w14:paraId="53858A14">
      <w:pPr>
        <w:bidi w:val="0"/>
        <w:rPr>
          <w:b/>
          <w:bCs/>
        </w:rPr>
      </w:pPr>
      <w:r>
        <w:rPr>
          <w:b/>
          <w:bCs/>
        </w:rPr>
        <w:t>（三）现场流程演示讨论会</w:t>
      </w:r>
    </w:p>
    <w:p w14:paraId="74201211">
      <w:pPr>
        <w:pStyle w:val="30"/>
        <w:keepNext w:val="0"/>
        <w:keepLines w:val="0"/>
        <w:widowControl/>
        <w:numPr>
          <w:ilvl w:val="0"/>
          <w:numId w:val="1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PI 与 RA 对 SRWS 全流程进行现场演示</w:t>
      </w:r>
    </w:p>
    <w:p w14:paraId="58E07F3A">
      <w:pPr>
        <w:pStyle w:val="30"/>
        <w:keepNext w:val="0"/>
        <w:keepLines w:val="0"/>
        <w:widowControl/>
        <w:numPr>
          <w:ilvl w:val="0"/>
          <w:numId w:val="1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专家提出修改意见并评估其可操作性</w:t>
      </w:r>
    </w:p>
    <w:p w14:paraId="68A12129">
      <w:pPr>
        <w:pStyle w:val="30"/>
        <w:keepNext w:val="0"/>
        <w:keepLines w:val="0"/>
        <w:widowControl/>
        <w:numPr>
          <w:ilvl w:val="0"/>
          <w:numId w:val="1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会后形成《SRWS 可执行性评估报告》</w:t>
      </w:r>
    </w:p>
    <w:p w14:paraId="41D3AD5E">
      <w:pPr>
        <w:pStyle w:val="5"/>
        <w:bidi w:val="0"/>
        <w:rPr>
          <w:sz w:val="24"/>
          <w:szCs w:val="24"/>
        </w:rPr>
      </w:pPr>
      <w:r>
        <w:rPr>
          <w:rStyle w:val="134"/>
          <w:b/>
          <w:bCs w:val="0"/>
          <w:sz w:val="24"/>
          <w:szCs w:val="24"/>
        </w:rPr>
        <w:t>七、学科内外协作机制</w:t>
      </w:r>
    </w:p>
    <w:p w14:paraId="36CCFE6A">
      <w:pPr>
        <w:pStyle w:val="30"/>
        <w:keepNext w:val="0"/>
        <w:keepLines w:val="0"/>
        <w:widowControl/>
        <w:numPr>
          <w:ilvl w:val="0"/>
          <w:numId w:val="2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与统计科、信息科、伦理办建立“SRWS 联动机制”。</w:t>
      </w:r>
    </w:p>
    <w:p w14:paraId="3F0088E8">
      <w:pPr>
        <w:pStyle w:val="30"/>
        <w:keepNext w:val="0"/>
        <w:keepLines w:val="0"/>
        <w:widowControl/>
        <w:numPr>
          <w:ilvl w:val="0"/>
          <w:numId w:val="2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与医工交叉项目、AI 项目共享数据规范与流程模板。</w:t>
      </w:r>
    </w:p>
    <w:p w14:paraId="387AD346">
      <w:pPr>
        <w:pStyle w:val="30"/>
        <w:keepNext w:val="0"/>
        <w:keepLines w:val="0"/>
        <w:widowControl/>
        <w:numPr>
          <w:ilvl w:val="0"/>
          <w:numId w:val="2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必要时与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合作</w:t>
      </w:r>
      <w:r>
        <w:rPr>
          <w:rFonts w:hint="eastAsia" w:ascii="仿宋" w:hAnsi="仿宋" w:eastAsia="仿宋" w:cs="仿宋"/>
          <w:sz w:val="24"/>
          <w:szCs w:val="24"/>
        </w:rPr>
        <w:t>大学等合作单位共建 SRWS 兼容接口（医工项目）。</w:t>
      </w:r>
    </w:p>
    <w:p w14:paraId="40D5740D">
      <w:pPr>
        <w:pStyle w:val="30"/>
        <w:keepNext w:val="0"/>
        <w:keepLines w:val="0"/>
        <w:widowControl/>
        <w:numPr>
          <w:ilvl w:val="0"/>
          <w:numId w:val="2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推动本体系向全院临床科室进行推广应用。</w:t>
      </w:r>
    </w:p>
    <w:p w14:paraId="3C6D04FE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八、监督与问责机制</w:t>
      </w:r>
    </w:p>
    <w:p w14:paraId="71937D4F">
      <w:pPr>
        <w:pStyle w:val="30"/>
        <w:keepNext w:val="0"/>
        <w:keepLines w:val="0"/>
        <w:widowControl/>
        <w:numPr>
          <w:ilvl w:val="0"/>
          <w:numId w:val="2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未按 SRWS 执行的课题，不得进入结题审核。</w:t>
      </w:r>
    </w:p>
    <w:p w14:paraId="3B541912">
      <w:pPr>
        <w:pStyle w:val="30"/>
        <w:keepNext w:val="0"/>
        <w:keepLines w:val="0"/>
        <w:widowControl/>
        <w:numPr>
          <w:ilvl w:val="0"/>
          <w:numId w:val="2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未通过 QC 节点的课题不得进入下一阶段。</w:t>
      </w:r>
    </w:p>
    <w:p w14:paraId="63ACB533">
      <w:pPr>
        <w:pStyle w:val="30"/>
        <w:keepNext w:val="0"/>
        <w:keepLines w:val="0"/>
        <w:widowControl/>
        <w:numPr>
          <w:ilvl w:val="0"/>
          <w:numId w:val="2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研究过程中出现重大流程缺失，需提交说明或整改报告。</w:t>
      </w:r>
    </w:p>
    <w:p w14:paraId="772EC353">
      <w:pPr>
        <w:pStyle w:val="30"/>
        <w:keepNext w:val="0"/>
        <w:keepLines w:val="0"/>
        <w:widowControl/>
        <w:numPr>
          <w:ilvl w:val="0"/>
          <w:numId w:val="2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对执行 SRWS 表现优秀者纳入科研绩效与晋升奖励。</w:t>
      </w:r>
    </w:p>
    <w:p w14:paraId="5EEF6294">
      <w:pPr>
        <w:pStyle w:val="4"/>
        <w:bidi w:val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第三章 SRWS 总体框架</w:t>
      </w:r>
    </w:p>
    <w:p w14:paraId="74A9493A">
      <w:pPr>
        <w:pStyle w:val="30"/>
        <w:keepNext w:val="0"/>
        <w:keepLines w:val="0"/>
        <w:widowControl/>
        <w:suppressLineNumbers w:val="0"/>
        <w:rPr>
          <w:sz w:val="24"/>
          <w:szCs w:val="24"/>
        </w:rPr>
      </w:pPr>
      <w:r>
        <w:rPr>
          <w:rFonts w:hint="eastAsia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标准化科研全流程体系（SRWS）构建了一个由“八大模块、十二个里程碑、质量控制节点（QC）体系”组成的完整科研流程结构，以流程工程（workflow engineering）、方法学规范与专家共识为核心，实现科研活动的“结构化、标准化、可复用化、可追溯化”。</w:t>
      </w:r>
    </w:p>
    <w:p w14:paraId="6A43EE3E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第一节 SRWS 八大模块（8 Modules）</w:t>
      </w:r>
    </w:p>
    <w:p w14:paraId="291E8F09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SRWS 将科研全过程拆分为八个可独立、可组合、可复用的核心模块，每个模块包含明确的输入、输出、执行动作与质控要求。</w:t>
      </w:r>
    </w:p>
    <w:p w14:paraId="744F1F0C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1：选题与可行性论证（Research Question &amp; Feasibility）</w:t>
      </w:r>
    </w:p>
    <w:p w14:paraId="6507E479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核心内容：</w:t>
      </w:r>
    </w:p>
    <w:p w14:paraId="562B1EA3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明确研究问题（PICO/FINER 原则）</w:t>
      </w:r>
    </w:p>
    <w:p w14:paraId="03C20156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选题依据与临床价值</w:t>
      </w:r>
    </w:p>
    <w:p w14:paraId="0C360968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可行性评估：病例量、可观测终点、资源、团队能力</w:t>
      </w:r>
    </w:p>
    <w:p w14:paraId="6FC93210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初步检索验证</w:t>
      </w:r>
    </w:p>
    <w:p w14:paraId="19F6FB7A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形成《选题论证表》</w:t>
      </w:r>
    </w:p>
    <w:p w14:paraId="00F74CA0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输出：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可行性通过的候选课题 + 精炼的研究问题。</w:t>
      </w:r>
    </w:p>
    <w:p w14:paraId="7E1B0A8F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2：文献检索与证据整合（Literature &amp; Evidence Integration）</w:t>
      </w:r>
    </w:p>
    <w:p w14:paraId="26AAD90A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核心内容：</w:t>
      </w:r>
    </w:p>
    <w:p w14:paraId="75B1BF06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检索策略制定（MeSH+关键词）</w:t>
      </w:r>
    </w:p>
    <w:p w14:paraId="1D3FCCAF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多数据库检索（PubMed、Cochrane、Web of Science、CNKI）</w:t>
      </w:r>
    </w:p>
    <w:p w14:paraId="109222F5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PRISMA 流程</w:t>
      </w:r>
    </w:p>
    <w:p w14:paraId="1D1DAA8C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证据提取矩阵（Evidence Matrix）</w:t>
      </w:r>
    </w:p>
    <w:p w14:paraId="1652AA70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现有研究空白识别</w:t>
      </w:r>
    </w:p>
    <w:p w14:paraId="0EFDDA68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输出：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《文献检索记录》《证据整合表》《研究空白分析》。</w:t>
      </w:r>
    </w:p>
    <w:p w14:paraId="413782E8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3：研究方案与统计分析计划（Protocol &amp; SAP）</w:t>
      </w:r>
    </w:p>
    <w:p w14:paraId="12DAE4E5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核心内容：</w:t>
      </w:r>
    </w:p>
    <w:p w14:paraId="2C0292E0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研究设计类型选择（RWS、IST、RCT、医工交叉、基础研究）</w:t>
      </w:r>
    </w:p>
    <w:p w14:paraId="43E2EDDC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样本量估算</w:t>
      </w:r>
    </w:p>
    <w:p w14:paraId="2AEE28F1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主要/次要终点设计</w:t>
      </w:r>
    </w:p>
    <w:p w14:paraId="7357EDC2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统计分析路径（PSM、回归、重复测量、机器学习等）</w:t>
      </w:r>
    </w:p>
    <w:p w14:paraId="5D871908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研究流程图</w:t>
      </w:r>
    </w:p>
    <w:p w14:paraId="778AA672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风险评估与偏倚控制</w:t>
      </w:r>
    </w:p>
    <w:p w14:paraId="0B634684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建立《Manuscript Skeleton》</w:t>
      </w:r>
    </w:p>
    <w:p w14:paraId="3EEAC426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输出：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正式版《研究方案（Protocol）》与《统计分析计划（SAP）》。</w:t>
      </w:r>
    </w:p>
    <w:p w14:paraId="4BC4F5A5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4：伦理与合规管理（Ethics &amp; Compliance）</w:t>
      </w:r>
    </w:p>
    <w:p w14:paraId="220621B1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核心内容：</w:t>
      </w:r>
    </w:p>
    <w:p w14:paraId="06BAC4D9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伦理申请材料准备</w:t>
      </w:r>
    </w:p>
    <w:p w14:paraId="02238680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知情同意书设计</w:t>
      </w:r>
    </w:p>
    <w:p w14:paraId="5CBEE72D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CRF 隐私字段审查</w:t>
      </w:r>
    </w:p>
    <w:p w14:paraId="4100A9F7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数据脱敏与访问权限管理</w:t>
      </w:r>
    </w:p>
    <w:p w14:paraId="692ACC6A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医工/AI 项目信息安全评估</w:t>
      </w:r>
    </w:p>
    <w:p w14:paraId="213F8B2B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输出：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伦理批准文件、数据安全评估表。</w:t>
      </w:r>
    </w:p>
    <w:p w14:paraId="00148C00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5：数据字典、CRF 与数据采集（Data Dictionary &amp; CRF）</w:t>
      </w:r>
    </w:p>
    <w:p w14:paraId="1AD6FF64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核心内容：</w:t>
      </w:r>
    </w:p>
    <w:p w14:paraId="2A582674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数据字典字段标准化（Data Dictionary）</w:t>
      </w:r>
    </w:p>
    <w:p w14:paraId="629EE4EF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CRF（Case Report Form）结构设计</w:t>
      </w:r>
    </w:p>
    <w:p w14:paraId="1ED9241E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数据采集流程</w:t>
      </w:r>
    </w:p>
    <w:p w14:paraId="73DECF4C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代码本（Codebook）建立</w:t>
      </w:r>
    </w:p>
    <w:p w14:paraId="29B34490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试填验证（Pilot Filling）</w:t>
      </w:r>
    </w:p>
    <w:p w14:paraId="15200F68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输出：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数据字典、最终版 CRF、数据采集 SOP。</w:t>
      </w:r>
    </w:p>
    <w:p w14:paraId="40919CA1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6：数据质量控制与数据锁定（Data QC &amp; Lock）</w:t>
      </w:r>
    </w:p>
    <w:p w14:paraId="204A3FE1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核心内容：</w:t>
      </w:r>
    </w:p>
    <w:p w14:paraId="76687EE4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数据完整性检查</w:t>
      </w:r>
    </w:p>
    <w:p w14:paraId="4801745D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数据逻辑校验</w:t>
      </w:r>
    </w:p>
    <w:p w14:paraId="6AC867E1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差异与缺失值处理</w:t>
      </w:r>
    </w:p>
    <w:p w14:paraId="712FA438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数据冻结（Database Freeze）</w:t>
      </w:r>
    </w:p>
    <w:p w14:paraId="496456ED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数据锁定（Data Lock）</w:t>
      </w:r>
    </w:p>
    <w:p w14:paraId="60CEB647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审计追踪（Audit Trail）</w:t>
      </w:r>
    </w:p>
    <w:p w14:paraId="0E2BF4BF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输出：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QC 报告、冻结报告、最终锁定数据库（ADS-ready）。</w:t>
      </w:r>
    </w:p>
    <w:p w14:paraId="0669AA40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7：统计分析与可复现计算（Statistical Analysis &amp; Reproducibility）</w:t>
      </w:r>
    </w:p>
    <w:p w14:paraId="689D85B4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核心内容：</w:t>
      </w:r>
    </w:p>
    <w:p w14:paraId="3EF08C3D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统计分析执行（R、Python、SPSS）</w:t>
      </w:r>
    </w:p>
    <w:p w14:paraId="3172F9CA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生成图表与可视化</w:t>
      </w:r>
    </w:p>
    <w:p w14:paraId="630E239D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建立分析数据集（ADS）</w:t>
      </w:r>
    </w:p>
    <w:p w14:paraId="4294E90A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统计脚本（Code Repo）</w:t>
      </w:r>
    </w:p>
    <w:p w14:paraId="05490DC0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复现性检查（Reproducibility Check）</w:t>
      </w:r>
    </w:p>
    <w:p w14:paraId="3DA27DD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输出：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《统计分析报告》《图表包》《统计代码库》。</w:t>
      </w:r>
    </w:p>
    <w:p w14:paraId="1A44BD21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8：论文/专利撰写与成果转化（Manuscript/Patent &amp; Translation）</w:t>
      </w:r>
    </w:p>
    <w:p w14:paraId="459E872E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核心内容：</w:t>
      </w:r>
    </w:p>
    <w:p w14:paraId="4990DAB4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依据 Manuscript Skeleton 撰写论文</w:t>
      </w:r>
    </w:p>
    <w:p w14:paraId="25465A6E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期刊匹配与投稿路径</w:t>
      </w:r>
    </w:p>
    <w:p w14:paraId="7D894456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专利的新颖性评价与结构化写作</w:t>
      </w:r>
    </w:p>
    <w:p w14:paraId="19C7B648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研究成果的本地推广与转化</w:t>
      </w:r>
    </w:p>
    <w:p w14:paraId="0BDE03CC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形成成果材料包（图、表、代码）</w:t>
      </w:r>
    </w:p>
    <w:p w14:paraId="18AB324D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输出：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论文、专利、研究总结、可推广报告。</w:t>
      </w:r>
    </w:p>
    <w:p w14:paraId="67A6C715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第二节 SRWS 十二个里程碑（12 Milestones）</w:t>
      </w:r>
    </w:p>
    <w:p w14:paraId="7808439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通过12个里程碑构建全过程可控性，任何课题不得跳过关键节点。</w:t>
      </w:r>
    </w:p>
    <w:p w14:paraId="382BFE88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T0：课题立项与选题确认</w:t>
      </w:r>
    </w:p>
    <w:p w14:paraId="132DB03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完成选题论证 + 初步检索。</w:t>
      </w:r>
    </w:p>
    <w:p w14:paraId="3B48117B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T1：文献检索完成并通过审核</w:t>
      </w:r>
    </w:p>
    <w:p w14:paraId="4A4E5904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提交 PRISMA 流程与证据整合矩阵。</w:t>
      </w:r>
    </w:p>
    <w:p w14:paraId="708B7A85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T2：研究方案（Protocol）定稿</w:t>
      </w:r>
    </w:p>
    <w:p w14:paraId="166DC1B4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包含研究问题、设计、终点、样本量、流程图。</w:t>
      </w:r>
    </w:p>
    <w:p w14:paraId="19A71159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T3：统计分析计划（SAP）定稿</w:t>
      </w:r>
    </w:p>
    <w:p w14:paraId="6E40A1A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明确模型、方法、亚组分析、敏感性分析。</w:t>
      </w:r>
    </w:p>
    <w:p w14:paraId="19654718">
      <w:pPr>
        <w:bidi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T4：伦理材料提交并获批</w:t>
      </w:r>
    </w:p>
    <w:p w14:paraId="0BEABCFF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确保合规。</w:t>
      </w:r>
    </w:p>
    <w:p w14:paraId="1B96EB87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T5：CRF 与数据字典完成并试填通过</w:t>
      </w:r>
    </w:p>
    <w:p w14:paraId="7FB6EECF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完成 Pilot Filling。</w:t>
      </w:r>
    </w:p>
    <w:p w14:paraId="04669B8D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T6：数据采集完成 50% 的中期检查</w:t>
      </w:r>
    </w:p>
    <w:p w14:paraId="39F584DD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形成中期 QC 报告。</w:t>
      </w:r>
    </w:p>
    <w:p w14:paraId="020BB9E3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T7：数据采集结束并通过QC</w:t>
      </w:r>
    </w:p>
    <w:p w14:paraId="49BD8CA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完成完整性、逻辑一致性校验。</w:t>
      </w:r>
    </w:p>
    <w:p w14:paraId="785073A3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T8：数据库冻结（Freeze）</w:t>
      </w:r>
    </w:p>
    <w:p w14:paraId="3E54970E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不得再修改原始数据。</w:t>
      </w:r>
    </w:p>
    <w:p w14:paraId="368C6A06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T9：数据库锁定（Lock）</w:t>
      </w:r>
    </w:p>
    <w:p w14:paraId="39ED10F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生成 ADS 数据集。</w:t>
      </w:r>
    </w:p>
    <w:p w14:paraId="6B92704E">
      <w:pPr>
        <w:bidi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T10：统计分析完成并通过复现性检查</w:t>
      </w:r>
    </w:p>
    <w:p w14:paraId="30B3E4C1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确保统计可靠。</w:t>
      </w:r>
    </w:p>
    <w:p w14:paraId="35ED662C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T11：写作完成，论文/专利提交</w:t>
      </w:r>
    </w:p>
    <w:p w14:paraId="117B510A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形成最终成果包。</w:t>
      </w:r>
    </w:p>
    <w:p w14:paraId="7ECC7DBC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第三节 SRWS 质量控制节点（QC Nodes）</w:t>
      </w:r>
    </w:p>
    <w:p w14:paraId="79F28A6A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设置横贯全流程的 QC 体系，包括：</w:t>
      </w:r>
    </w:p>
    <w:p w14:paraId="4C9F0B47">
      <w:pPr>
        <w:bidi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QC-1 文献质量控制</w:t>
      </w:r>
    </w:p>
    <w:p w14:paraId="31108A36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检索策略检查</w:t>
      </w:r>
    </w:p>
    <w:p w14:paraId="59BDEFAF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可重复检索性验证</w:t>
      </w:r>
    </w:p>
    <w:p w14:paraId="0C366A3F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证据空白评估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输出：文献 QC 报告。</w:t>
      </w:r>
    </w:p>
    <w:p w14:paraId="005DC226">
      <w:pPr>
        <w:bidi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QC-2 方案与 SAP 审核</w:t>
      </w:r>
    </w:p>
    <w:p w14:paraId="09496B24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研究问题与终点设计合理性</w:t>
      </w:r>
    </w:p>
    <w:p w14:paraId="3BCE4626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偏倚控制措施</w:t>
      </w:r>
    </w:p>
    <w:p w14:paraId="59BAAABE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统计模型适配性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输出：方案–统计一致性意见。</w:t>
      </w:r>
    </w:p>
    <w:p w14:paraId="311A6DFE">
      <w:pPr>
        <w:bidi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QC-3 数据采集 QC</w:t>
      </w:r>
    </w:p>
    <w:p w14:paraId="5F315949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CRF 完整性</w:t>
      </w:r>
    </w:p>
    <w:p w14:paraId="3063A795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字段逻辑校验</w:t>
      </w:r>
    </w:p>
    <w:p w14:paraId="049098FE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缺失值问题识别与处理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输出：数据采集 QC 报告。</w:t>
      </w:r>
    </w:p>
    <w:p w14:paraId="2844C0A1">
      <w:pPr>
        <w:bidi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QC-4 数据锁定 QC</w:t>
      </w:r>
    </w:p>
    <w:p w14:paraId="31695129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数据一致性复核</w:t>
      </w:r>
    </w:p>
    <w:p w14:paraId="1C7A2A12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Audit Trail 检查</w:t>
      </w:r>
    </w:p>
    <w:p w14:paraId="608C59C4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生成 ADS-ready 数据集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输出：数据锁定报告。</w:t>
      </w:r>
    </w:p>
    <w:p w14:paraId="4E659998">
      <w:pPr>
        <w:bidi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QC-5 统计与复现性 QC</w:t>
      </w:r>
    </w:p>
    <w:p w14:paraId="622D4D77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统计代码复核</w:t>
      </w:r>
    </w:p>
    <w:p w14:paraId="6167DD4A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重算结果一致性验证</w:t>
      </w:r>
    </w:p>
    <w:p w14:paraId="2F0EEA41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图表可复现性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输出：统计与复现性 QC 报告。</w:t>
      </w:r>
    </w:p>
    <w:p w14:paraId="167C1D0F">
      <w:pPr>
        <w:bidi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QC-6 论文一致性 QC</w:t>
      </w:r>
    </w:p>
    <w:p w14:paraId="604D2845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Protocol–Results–Manuscript 一致性检查</w:t>
      </w:r>
    </w:p>
    <w:p w14:paraId="118037BE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逻辑错误排查</w:t>
      </w:r>
    </w:p>
    <w:p w14:paraId="67BE2833">
      <w:pPr>
        <w:pStyle w:val="30"/>
        <w:keepNext w:val="0"/>
        <w:keepLines w:val="0"/>
        <w:widowControl/>
        <w:numPr>
          <w:ilvl w:val="0"/>
          <w:numId w:val="2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参考文献完整性检查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输出：论文最终 QC 报告。</w:t>
      </w:r>
    </w:p>
    <w:p w14:paraId="7A5E6C70">
      <w:pPr>
        <w:bidi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本章总结</w:t>
      </w:r>
    </w:p>
    <w:p w14:paraId="02753809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“八大模块 + 十二里程碑 + QC 节点”的 SRWS 总体框架，实现了科研从选题到产出的全过程结构化管控，使任何课题均可按照标准化路径“复用、迁移、推广”，是胃肠外科科研向体系化发展、向可持续产出跃升的核心基础设施。</w:t>
      </w:r>
    </w:p>
    <w:p w14:paraId="3FA42E0A">
      <w:pPr>
        <w:pStyle w:val="4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第四章 课题全过程管理流程</w:t>
      </w:r>
    </w:p>
    <w:p w14:paraId="48D3680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/>
          <w:lang w:eastAsia="zh-CN"/>
        </w:rPr>
        <w:t>　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　</w:t>
      </w:r>
      <w:r>
        <w:rPr>
          <w:rFonts w:hint="eastAsia" w:ascii="仿宋" w:hAnsi="仿宋" w:eastAsia="仿宋" w:cs="仿宋"/>
          <w:sz w:val="24"/>
          <w:szCs w:val="24"/>
        </w:rPr>
        <w:t>SRWS 的课题全过程管理遵循“前置化、结构化、可追溯、可复用”原则，按照“八大模块、十二里程碑、六级 QC 节点”展开。本章根据科研实际操作流程，从课题启动到结题产出进行系统阐述。</w:t>
      </w:r>
    </w:p>
    <w:p w14:paraId="55236BD5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第一节  SRWS 四项前置化机制（T0–T3）</w:t>
      </w:r>
    </w:p>
    <w:p w14:paraId="277A9E7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前置化（Front-loading）是 SRWS 的核心理念，确保研究从一开始就具备可执行性与一致性。</w:t>
      </w:r>
    </w:p>
    <w:p w14:paraId="0AA42FBD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一、T0：选题前置化</w:t>
      </w:r>
      <w:r>
        <w:rPr>
          <w:rFonts w:hint="eastAsia" w:ascii="仿宋" w:hAnsi="仿宋" w:eastAsia="仿宋" w:cs="仿宋"/>
          <w:sz w:val="24"/>
          <w:szCs w:val="24"/>
        </w:rPr>
        <w:t>（Research Question Pre-positioning）</w:t>
      </w:r>
    </w:p>
    <w:p w14:paraId="6447F44A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主要任务：</w:t>
      </w:r>
    </w:p>
    <w:p w14:paraId="53B4FDB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明确研究问题（PICO/FINER）</w:t>
      </w:r>
    </w:p>
    <w:p w14:paraId="0E10E67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完成选题可行性分析</w:t>
      </w:r>
    </w:p>
    <w:p w14:paraId="6C56268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初步证据检索验证</w:t>
      </w:r>
    </w:p>
    <w:p w14:paraId="0F2BC4C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形成《选题论证表》</w:t>
      </w:r>
    </w:p>
    <w:p w14:paraId="0FABFEE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进入 SRWS 课题登记流程</w:t>
      </w:r>
    </w:p>
    <w:p w14:paraId="6D82FC1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关键输出：</w:t>
      </w:r>
    </w:p>
    <w:p w14:paraId="325D6B6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选题通过后纳入 SRWS 管控体系。</w:t>
      </w:r>
    </w:p>
    <w:p w14:paraId="2FB72AE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二、T1：方案前置化</w:t>
      </w:r>
      <w:r>
        <w:rPr>
          <w:rFonts w:hint="eastAsia" w:ascii="仿宋" w:hAnsi="仿宋" w:eastAsia="仿宋" w:cs="仿宋"/>
          <w:sz w:val="24"/>
          <w:szCs w:val="24"/>
        </w:rPr>
        <w:t>（Protocol Pre-positioning）</w:t>
      </w:r>
    </w:p>
    <w:p w14:paraId="17C7BD0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主要任务：</w:t>
      </w:r>
    </w:p>
    <w:p w14:paraId="22A4E2A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完成系统性文献检索（PRISMA 流程）</w:t>
      </w:r>
    </w:p>
    <w:p w14:paraId="66E128A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完成证据整合和研究空白确认</w:t>
      </w:r>
    </w:p>
    <w:p w14:paraId="0304EC8C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初步完成研究设计、终点设定、样本量估算</w:t>
      </w:r>
    </w:p>
    <w:p w14:paraId="11FA6F0D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完成初稿 Protocol</w:t>
      </w:r>
    </w:p>
    <w:p w14:paraId="32B2438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完成统计分析计划（SAP）框架</w:t>
      </w:r>
    </w:p>
    <w:p w14:paraId="6E36E73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关键输出：</w:t>
      </w:r>
    </w:p>
    <w:p w14:paraId="427C927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可提交伦理的 Protocol + SAP（草案）。</w:t>
      </w:r>
    </w:p>
    <w:p w14:paraId="52F9E27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三、T2：统计前置化</w:t>
      </w:r>
      <w:r>
        <w:rPr>
          <w:rFonts w:hint="eastAsia" w:ascii="仿宋" w:hAnsi="仿宋" w:eastAsia="仿宋" w:cs="仿宋"/>
          <w:sz w:val="24"/>
          <w:szCs w:val="24"/>
        </w:rPr>
        <w:t>（SAP Pre-positioning）</w:t>
      </w:r>
    </w:p>
    <w:p w14:paraId="21D1D59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主要任务：</w:t>
      </w:r>
    </w:p>
    <w:p w14:paraId="31A3869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最终确认统计模型（如回归、PSM、重复测量、机器学习等）</w:t>
      </w:r>
    </w:p>
    <w:p w14:paraId="7E608B5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明确亚组与敏感性分析</w:t>
      </w:r>
    </w:p>
    <w:p w14:paraId="65C42B0C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起草统计代码结构（R/Python 伪代码）</w:t>
      </w:r>
    </w:p>
    <w:p w14:paraId="05C4892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明确数据结构、ADS 需求</w:t>
      </w:r>
    </w:p>
    <w:p w14:paraId="5B4D588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关键输出：</w:t>
      </w:r>
    </w:p>
    <w:p w14:paraId="29F1197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可执行、可复现的正式版 SAP。</w:t>
      </w:r>
    </w:p>
    <w:p w14:paraId="6E03787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四、T3：写作前置化</w:t>
      </w:r>
      <w:r>
        <w:rPr>
          <w:rFonts w:hint="eastAsia" w:ascii="仿宋" w:hAnsi="仿宋" w:eastAsia="仿宋" w:cs="仿宋"/>
          <w:sz w:val="24"/>
          <w:szCs w:val="24"/>
        </w:rPr>
        <w:t>（Manuscript Skeleton Pre-positioning）</w:t>
      </w:r>
    </w:p>
    <w:p w14:paraId="78E847BA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主要任务：</w:t>
      </w:r>
    </w:p>
    <w:p w14:paraId="351B228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建立 Manuscript Skeleton（写作骨架）</w:t>
      </w:r>
    </w:p>
    <w:p w14:paraId="3045D4C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明确论文段落结构</w:t>
      </w:r>
    </w:p>
    <w:p w14:paraId="348072D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规划图表、统计输出、可视化需求</w:t>
      </w:r>
    </w:p>
    <w:p w14:paraId="1C9D704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明确目标期刊与写作规范</w:t>
      </w:r>
    </w:p>
    <w:p w14:paraId="28ABF5A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同步开展 Early-stage IP Mapping（知识产权早期布局）</w:t>
      </w:r>
    </w:p>
    <w:p w14:paraId="3ACE1A9C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关键输出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：</w:t>
      </w:r>
    </w:p>
    <w:p w14:paraId="4FB6981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写作骨架（MSK）+ 产出定位（Paper/Patent）。</w:t>
      </w:r>
    </w:p>
    <w:p w14:paraId="4B30B54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</w:p>
    <w:p w14:paraId="7214C131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第二节  SRWS 分阶段执行流程（模块化管理）</w:t>
      </w:r>
    </w:p>
    <w:p w14:paraId="3493520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从 T0–T11，SRWS 将科研过程拆解为八个可管控的执行模块。</w:t>
      </w:r>
    </w:p>
    <w:p w14:paraId="447D05B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一、模块 1：选题与可行性论证</w:t>
      </w:r>
    </w:p>
    <w:p w14:paraId="25726CC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流程步骤：</w:t>
      </w:r>
    </w:p>
    <w:p w14:paraId="3EAB98F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T0 会议形成研究问题</w:t>
      </w:r>
    </w:p>
    <w:p w14:paraId="4DAACDD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完成快速检索（Scoping Search）</w:t>
      </w:r>
    </w:p>
    <w:p w14:paraId="5B0E443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评估病例量与数据可访问性</w:t>
      </w:r>
    </w:p>
    <w:p w14:paraId="1BEAA7F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评估研究资源（团队、设备、数据）</w:t>
      </w:r>
    </w:p>
    <w:p w14:paraId="42B2C3E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课题进入 SRWS 并由 PI 正式承担</w:t>
      </w:r>
    </w:p>
    <w:p w14:paraId="6C2E6A8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 节点：QC-0（可行性审核）</w:t>
      </w:r>
    </w:p>
    <w:p w14:paraId="4AA3225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二、模块 2：文献检索与证据整合</w:t>
      </w:r>
    </w:p>
    <w:p w14:paraId="71FC84E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流程步骤：</w:t>
      </w:r>
    </w:p>
    <w:p w14:paraId="0F5FC55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RA 根据选题制定检索策略</w:t>
      </w:r>
    </w:p>
    <w:p w14:paraId="76C322F3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多数据库检索与去重</w:t>
      </w:r>
    </w:p>
    <w:p w14:paraId="5DCF43A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PRISMA 流程</w:t>
      </w:r>
    </w:p>
    <w:p w14:paraId="6BCF5B9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Evidence matrix（证据提取矩阵）</w:t>
      </w:r>
    </w:p>
    <w:p w14:paraId="60AB830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Research gap identification（空白识别）</w:t>
      </w:r>
    </w:p>
    <w:p w14:paraId="36FDD54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 节点：QC-1（检索与证据质量控制）</w:t>
      </w:r>
    </w:p>
    <w:p w14:paraId="4FCBFCB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三、模块 3：研究方案与统计分析计划</w:t>
      </w:r>
    </w:p>
    <w:p w14:paraId="7AE6EAF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流程步骤：</w:t>
      </w:r>
    </w:p>
    <w:p w14:paraId="222D57C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形成 Protocol 草案</w:t>
      </w:r>
    </w:p>
    <w:p w14:paraId="569F0F2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完成 SAP 初稿</w:t>
      </w:r>
    </w:p>
    <w:p w14:paraId="667D577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SRWS-SC 的方法学审核</w:t>
      </w:r>
    </w:p>
    <w:p w14:paraId="2CB0C15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修订与定稿</w:t>
      </w:r>
    </w:p>
    <w:p w14:paraId="1C113E7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准备伦理材料</w:t>
      </w:r>
    </w:p>
    <w:p w14:paraId="3E38CAA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 节点：QC-2（方案–统计一致性审查）</w:t>
      </w:r>
    </w:p>
    <w:p w14:paraId="2015D13C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四、模块 4：伦理与合规管理</w:t>
      </w:r>
    </w:p>
    <w:p w14:paraId="2794374A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流程步骤：</w:t>
      </w:r>
    </w:p>
    <w:p w14:paraId="6CE6B4AD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伦理材料准备（Protocol、CRF、知情同意书）</w:t>
      </w:r>
    </w:p>
    <w:p w14:paraId="1D429A1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数据安全风险评估</w:t>
      </w:r>
    </w:p>
    <w:p w14:paraId="7C9BA14A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提交伦理</w:t>
      </w:r>
    </w:p>
    <w:p w14:paraId="26CD867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审批后进入执行阶段</w:t>
      </w:r>
    </w:p>
    <w:p w14:paraId="2927DC3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 节点：伦理审查通过（Ethics Approved）</w:t>
      </w:r>
    </w:p>
    <w:p w14:paraId="538854A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五、模块 5：数据字典、CRF 与数据采集</w:t>
      </w:r>
    </w:p>
    <w:p w14:paraId="4521297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流程步骤：</w:t>
      </w:r>
    </w:p>
    <w:p w14:paraId="161E197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制作数据字典（Data Dictionary）</w:t>
      </w:r>
    </w:p>
    <w:p w14:paraId="4B40C7B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完成 CRF（纸质/EDC）</w:t>
      </w:r>
    </w:p>
    <w:p w14:paraId="5D74821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试填验证（Pilot Filling）</w:t>
      </w:r>
    </w:p>
    <w:p w14:paraId="28FEAE8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正式采集</w:t>
      </w:r>
    </w:p>
    <w:p w14:paraId="6801B2D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 节点：QC-3（CRF 完整性与逻辑一致性检查）</w:t>
      </w:r>
    </w:p>
    <w:p w14:paraId="08E3AD9C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六、模块 6：数据质量控制与数据锁定</w:t>
      </w:r>
    </w:p>
    <w:p w14:paraId="3BC6585C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流程步骤：</w:t>
      </w:r>
    </w:p>
    <w:p w14:paraId="14A0804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完整性检查（Missing Check）</w:t>
      </w:r>
    </w:p>
    <w:p w14:paraId="11F6C00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逻辑检验（Logical Check）</w:t>
      </w:r>
    </w:p>
    <w:p w14:paraId="70C1521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数据清洗</w:t>
      </w:r>
    </w:p>
    <w:p w14:paraId="20039A8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数据冻结（Freeze）</w:t>
      </w:r>
    </w:p>
    <w:p w14:paraId="25B6D8B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数据锁定（Data Lock）</w:t>
      </w:r>
    </w:p>
    <w:p w14:paraId="1461CA0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6. 建立 ADS（Analysis Dataset）</w:t>
      </w:r>
    </w:p>
    <w:p w14:paraId="7EB7182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 节点：QC-4（数据锁定审核）</w:t>
      </w:r>
    </w:p>
    <w:p w14:paraId="54D5BC6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七、模块 7：统计分析与可复现计算</w:t>
      </w:r>
    </w:p>
    <w:p w14:paraId="3CD3E8C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流程步骤：</w:t>
      </w:r>
    </w:p>
    <w:p w14:paraId="4027F72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根据 SAP 执行统计分析</w:t>
      </w:r>
    </w:p>
    <w:p w14:paraId="3C65382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生成统计脚本（Code Repo）</w:t>
      </w:r>
    </w:p>
    <w:p w14:paraId="6131EF2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输出图表、可视化结果</w:t>
      </w:r>
    </w:p>
    <w:p w14:paraId="7BCC624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复现性检查（Reproducibility Validation）</w:t>
      </w:r>
    </w:p>
    <w:p w14:paraId="185908D3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 节点：QC-5（统计复现性检查）</w:t>
      </w:r>
    </w:p>
    <w:p w14:paraId="474C2906">
      <w:pPr>
        <w:bidi w:val="0"/>
        <w:rPr>
          <w:rFonts w:hint="eastAsia"/>
          <w:b/>
          <w:bCs/>
        </w:rPr>
      </w:pPr>
      <w:r>
        <w:rPr>
          <w:rFonts w:hint="eastAsia"/>
          <w:b/>
          <w:bCs/>
        </w:rPr>
        <w:t>八、模块 8：论文/专利撰写与成果转化</w:t>
      </w:r>
    </w:p>
    <w:p w14:paraId="0A4C48A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流程步骤：</w:t>
      </w:r>
    </w:p>
    <w:p w14:paraId="64F921F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根据 MSK 撰写论文</w:t>
      </w:r>
    </w:p>
    <w:p w14:paraId="35C83F7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生成图表与补充材料</w:t>
      </w:r>
    </w:p>
    <w:p w14:paraId="39FA378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完成投稿</w:t>
      </w:r>
    </w:p>
    <w:p w14:paraId="7BAF90E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实施专利撰写或申报</w:t>
      </w:r>
    </w:p>
    <w:p w14:paraId="008C812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完成科室/医院推广计划</w:t>
      </w:r>
    </w:p>
    <w:p w14:paraId="4279F50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 节点：QC-6（论文/专利一致性检查）</w:t>
      </w:r>
    </w:p>
    <w:p w14:paraId="4FDAC3BB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41"/>
          <w:rFonts w:hint="eastAsia" w:ascii="黑体" w:hAnsi="黑体" w:eastAsia="黑体" w:cs="黑体"/>
          <w:b/>
          <w:bCs/>
        </w:rPr>
        <w:t>第三节  SRWS 三大共识机制</w:t>
      </w:r>
      <w:r>
        <w:rPr>
          <w:rFonts w:hint="eastAsia" w:ascii="仿宋" w:hAnsi="仿宋" w:eastAsia="仿宋" w:cs="仿宋"/>
          <w:sz w:val="24"/>
          <w:szCs w:val="24"/>
        </w:rPr>
        <w:t>（Delphi + 会议 + 演示）</w:t>
      </w:r>
    </w:p>
    <w:p w14:paraId="041B600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属于体系构建类研究，必须采用国际标准共识方法。</w:t>
      </w:r>
    </w:p>
    <w:p w14:paraId="3D66D4D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一、两轮 Delphi</w:t>
      </w:r>
      <w:r>
        <w:rPr>
          <w:rFonts w:hint="eastAsia" w:ascii="仿宋" w:hAnsi="仿宋" w:eastAsia="仿宋" w:cs="仿宋"/>
          <w:sz w:val="24"/>
          <w:szCs w:val="24"/>
        </w:rPr>
        <w:t>（专家共识形成）</w:t>
      </w:r>
    </w:p>
    <w:p w14:paraId="3D966C4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专家数量：15–20 人</w:t>
      </w:r>
    </w:p>
    <w:p w14:paraId="003D141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评分：Likert 5 级</w:t>
      </w:r>
    </w:p>
    <w:p w14:paraId="3391E36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指标：权威系数（Cr）、协调系数（W）、一致性（≥70%）</w:t>
      </w:r>
    </w:p>
    <w:p w14:paraId="42E4C1E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用途：更新 SRWS 模块与条目</w:t>
      </w:r>
    </w:p>
    <w:p w14:paraId="1A83AAE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二、SRWS 专家咨询会议</w:t>
      </w:r>
    </w:p>
    <w:p w14:paraId="414D4E7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审核 Delphi 结果</w:t>
      </w:r>
    </w:p>
    <w:p w14:paraId="6A46CFBA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对 SRWS 各条目逐项确认</w:t>
      </w:r>
    </w:p>
    <w:p w14:paraId="0CE7E27C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形成《SRWS 共识声明》</w:t>
      </w:r>
    </w:p>
    <w:p w14:paraId="484A298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三、现场流程演示讨论会</w:t>
      </w:r>
    </w:p>
    <w:p w14:paraId="4637512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PI、RA 现场演示 SRWS 全流程</w:t>
      </w:r>
    </w:p>
    <w:p w14:paraId="2DDA2A2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专家评估可操作性与临床适配性</w:t>
      </w:r>
    </w:p>
    <w:p w14:paraId="7C7B0C1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输出《SRWS 执行可行性报告》</w:t>
      </w:r>
    </w:p>
    <w:p w14:paraId="3AD6A15E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第四节  数据可信度与复现性体系（Reproducibility System）</w:t>
      </w:r>
    </w:p>
    <w:p w14:paraId="29C67A0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的核心是保障科研数据可信、可复现。</w:t>
      </w:r>
    </w:p>
    <w:p w14:paraId="1DC18EDD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包括：</w:t>
      </w:r>
    </w:p>
    <w:p w14:paraId="421EB4F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审计追踪（Audit Trail）</w:t>
      </w:r>
    </w:p>
    <w:p w14:paraId="006C2173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可复现统计代码（Reproducible Code）</w:t>
      </w:r>
    </w:p>
    <w:p w14:paraId="6462CE5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分析数据集（ADS）标准格式</w:t>
      </w:r>
    </w:p>
    <w:p w14:paraId="5964CCC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文稿—统计—方案一致性（P–R–M Consistency）</w:t>
      </w:r>
    </w:p>
    <w:p w14:paraId="3C6B301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研究三级存档体系（原始数据、ADS、成果包）</w:t>
      </w:r>
    </w:p>
    <w:p w14:paraId="1074538C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第五节 结题与成果归档</w:t>
      </w:r>
    </w:p>
    <w:p w14:paraId="6BF3665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最终产出包括：</w:t>
      </w:r>
    </w:p>
    <w:p w14:paraId="0A863E9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全流程文件包（Protocol、SAP、CRF、QC 报告）</w:t>
      </w:r>
    </w:p>
    <w:p w14:paraId="446BA63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冻结版与锁定版数据</w:t>
      </w:r>
    </w:p>
    <w:p w14:paraId="0DB0C08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统计脚本与复现代码</w:t>
      </w:r>
    </w:p>
    <w:p w14:paraId="5D669B3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论文（投稿或发表）</w:t>
      </w:r>
    </w:p>
    <w:p w14:paraId="79D45C1A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专利（如适用）</w:t>
      </w:r>
    </w:p>
    <w:p w14:paraId="2A4FD9C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6. SRWS 专题报告（可用于全院推广）</w:t>
      </w:r>
    </w:p>
    <w:p w14:paraId="3AF6252C">
      <w:pPr>
        <w:pStyle w:val="4"/>
        <w:bidi w:val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第五章  SRWS 工具包（Toolkits）</w:t>
      </w:r>
    </w:p>
    <w:p w14:paraId="1C10757D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SRWS 工具包是标准化科研全流程体系（SRWS）的核心执行载体，为科研人员提供“可直接使用”的模板、表单、SOP、清单、数据结构与统计规范，实现科研活动的结构化、可复用化与可推广化。</w:t>
      </w:r>
    </w:p>
    <w:p w14:paraId="0F761DF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工具包适用于医院内所有科研类型，包括真实世界研究（RWS）、前瞻性研究（IST）、随机对照试验（RCT）、医工交叉研究、生物医学基础研究与软科学研究。</w:t>
      </w:r>
    </w:p>
    <w:p w14:paraId="16F68C7D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本章对工具包的构成、使用规则与更新机制做出明确规定。</w:t>
      </w:r>
    </w:p>
    <w:p w14:paraId="379A6208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第一节  SRWS 工具包总体结构</w:t>
      </w:r>
    </w:p>
    <w:p w14:paraId="4ACC2A3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SRWS 工具包由</w:t>
      </w:r>
      <w:r>
        <w:rPr>
          <w:rFonts w:hint="eastAsia" w:ascii="仿宋" w:hAnsi="仿宋" w:eastAsia="仿宋" w:cs="仿宋"/>
          <w:sz w:val="24"/>
          <w:szCs w:val="24"/>
          <w:lang w:eastAsia="zh-CN"/>
        </w:rPr>
        <w:t>＂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六大类、三十二项</w:t>
      </w:r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＂</w:t>
      </w:r>
      <w:r>
        <w:rPr>
          <w:rFonts w:hint="eastAsia" w:ascii="仿宋" w:hAnsi="仿宋" w:eastAsia="仿宋" w:cs="仿宋"/>
          <w:sz w:val="24"/>
          <w:szCs w:val="24"/>
        </w:rPr>
        <w:t>标准化工具构成，覆盖从选题至成果转化的科研全生命周期。</w:t>
      </w:r>
    </w:p>
    <w:p w14:paraId="5230117A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一、六大类工具包</w:t>
      </w:r>
      <w:r>
        <w:rPr>
          <w:rFonts w:hint="eastAsia" w:ascii="仿宋" w:hAnsi="仿宋" w:eastAsia="仿宋" w:cs="仿宋"/>
          <w:sz w:val="24"/>
          <w:szCs w:val="24"/>
        </w:rPr>
        <w:t>（6 Toolkits Clusters）</w:t>
      </w:r>
    </w:p>
    <w:p w14:paraId="01EB820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选题与可行性工具包（Toolkit A）</w:t>
      </w:r>
    </w:p>
    <w:p w14:paraId="6AC9EED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文献检索与证据整合工具包（Toolkit B）</w:t>
      </w:r>
    </w:p>
    <w:p w14:paraId="301907C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研究设计与统计分析工具包（Toolkit C）</w:t>
      </w:r>
    </w:p>
    <w:p w14:paraId="54A028A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伦理与合规工具包（Toolkit D）</w:t>
      </w:r>
    </w:p>
    <w:p w14:paraId="3750E17C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5.数据字典、CRF 与数据管理工具包（Toolkit E）</w:t>
      </w:r>
    </w:p>
    <w:p w14:paraId="65A7BB6D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6. 论文/专利与成果转化工具包（Toolkit F）</w:t>
      </w:r>
    </w:p>
    <w:p w14:paraId="6086E61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每一类工具均包括模板（Template）、操作流程（SOP）、检查清单（Checklist）和输出标准（Output Standard）。</w:t>
      </w:r>
    </w:p>
    <w:p w14:paraId="2143C063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第二节  六大类工具包内容说明</w:t>
      </w:r>
    </w:p>
    <w:p w14:paraId="74A2005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以下为每类工具包的标准配置，可作为科研课题启动与执行的必备资源。</w:t>
      </w:r>
    </w:p>
    <w:p w14:paraId="085356F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Toolkit A：选题与可行性工具包</w:t>
      </w:r>
    </w:p>
    <w:p w14:paraId="2A884B1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涵盖研究问题提出与可行性评估阶段。</w:t>
      </w:r>
    </w:p>
    <w:p w14:paraId="6392470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主要内容：</w:t>
      </w:r>
    </w:p>
    <w:p w14:paraId="063C5B1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《选题论证表（Feasibility Assessment Form）》</w:t>
      </w:r>
    </w:p>
    <w:p w14:paraId="6F34D9FA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《研究问题定义模板（PICO/FINER）》</w:t>
      </w:r>
    </w:p>
    <w:p w14:paraId="10FD34F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《研究价值评估表（Clinical Value Matrix）》</w:t>
      </w:r>
    </w:p>
    <w:p w14:paraId="09C9DDF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《资源可行性评估表（Resource Check Matrix）》</w:t>
      </w:r>
    </w:p>
    <w:p w14:paraId="231C421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《课题注册与 SRWS 纳入表》</w:t>
      </w:r>
    </w:p>
    <w:p w14:paraId="45662E2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输出标准：</w:t>
      </w:r>
    </w:p>
    <w:p w14:paraId="1F2F3E2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完成 T0 会议要求：具备清晰研究问题与可行性证据。</w:t>
      </w:r>
    </w:p>
    <w:p w14:paraId="23E3132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Toolkit B：文献检索与证据整合工具包</w:t>
      </w:r>
    </w:p>
    <w:p w14:paraId="646943E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用于系统性检索与研究空白识别。</w:t>
      </w:r>
    </w:p>
    <w:p w14:paraId="29FF135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主要内容：</w:t>
      </w:r>
    </w:p>
    <w:p w14:paraId="359316A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《检索策略制定表（Search Strategy Sheet）》</w:t>
      </w:r>
    </w:p>
    <w:p w14:paraId="3210D08D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《数据库检索记录表（Multi-Database Log）》</w:t>
      </w:r>
    </w:p>
    <w:p w14:paraId="05D9471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《PRISMA 2020 流程模板》</w:t>
      </w:r>
    </w:p>
    <w:p w14:paraId="100A56BC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《证据提取矩阵（Evidence Extraction Matrix）》</w:t>
      </w:r>
    </w:p>
    <w:p w14:paraId="17EFA203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《研究空白识别表（Gap Identification Form）》</w:t>
      </w:r>
    </w:p>
    <w:p w14:paraId="2264B3C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输出标准：</w:t>
      </w:r>
    </w:p>
    <w:p w14:paraId="149A062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形成可复现的 PRISMA 流程和证据整合报告。</w:t>
      </w:r>
    </w:p>
    <w:p w14:paraId="35198B33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Toolkit C：研究设计与统计分析工具包</w:t>
      </w:r>
    </w:p>
    <w:p w14:paraId="727CC62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涵盖 Protocol 与 SAP 的前置设计。</w:t>
      </w:r>
    </w:p>
    <w:p w14:paraId="65EC18D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主要内容：</w:t>
      </w:r>
    </w:p>
    <w:p w14:paraId="2E8D874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《研究方案（Protocol）标准模板》</w:t>
      </w:r>
    </w:p>
    <w:p w14:paraId="090D974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《临床研究设计流程图模板》</w:t>
      </w:r>
    </w:p>
    <w:p w14:paraId="2E8DB06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《样本量估算工具（Sample Size Sheet）》</w:t>
      </w:r>
    </w:p>
    <w:p w14:paraId="1AB0CF9D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《统计分析计划（SAP）模板》</w:t>
      </w:r>
    </w:p>
    <w:p w14:paraId="4445966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《偏倚控制与敏感性分析矩阵》</w:t>
      </w:r>
    </w:p>
    <w:p w14:paraId="6C051B9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6. 《Manuscript Skeleton（论文结构框架）》</w:t>
      </w:r>
    </w:p>
    <w:p w14:paraId="4F1AF12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7. 《Early-stage IP Mapping 模板》</w:t>
      </w:r>
    </w:p>
    <w:p w14:paraId="4D02472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输出标准：</w:t>
      </w:r>
    </w:p>
    <w:p w14:paraId="6677CDC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可提交伦理的 Protocol + SAP + 写作骨架。</w:t>
      </w:r>
    </w:p>
    <w:p w14:paraId="62E4758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Toolkit D：伦理与合规工具包</w:t>
      </w:r>
    </w:p>
    <w:p w14:paraId="62975B1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保障研究活动合规、安全。</w:t>
      </w:r>
    </w:p>
    <w:p w14:paraId="595BA98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主要内容：</w:t>
      </w:r>
    </w:p>
    <w:p w14:paraId="7FFB3C5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《伦理申请包（含 Protocol、ICF、CRF）》</w:t>
      </w:r>
    </w:p>
    <w:p w14:paraId="6E32A1A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《数据安全等级表（Data Security Level）》</w:t>
      </w:r>
    </w:p>
    <w:p w14:paraId="166B60A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《受试者权益保护表（Subject Safety Sheet）》</w:t>
      </w:r>
    </w:p>
    <w:p w14:paraId="45B70BA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《数据共享与脱敏审查表》</w:t>
      </w:r>
    </w:p>
    <w:p w14:paraId="649AA61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《医工/AI 项目合规模板（含风险矩阵）》</w:t>
      </w:r>
    </w:p>
    <w:p w14:paraId="4563FC1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输出标准：</w:t>
      </w:r>
    </w:p>
    <w:p w14:paraId="5F710C2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伦理审批通过 + 数据安全审查完成。</w:t>
      </w:r>
    </w:p>
    <w:p w14:paraId="7AC1D0C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Toolkit E：数据字典、CRF 与数据管理工具包</w:t>
      </w:r>
    </w:p>
    <w:p w14:paraId="3839603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涵盖数据采集、清洗与 QC。</w:t>
      </w:r>
    </w:p>
    <w:p w14:paraId="3E5EEAAC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主要内容：</w:t>
      </w:r>
    </w:p>
    <w:p w14:paraId="3AB1549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《数据字典模板（Data Dictionary）》</w:t>
      </w:r>
    </w:p>
    <w:p w14:paraId="61B54A6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《CRF 模板（电子/纸质）》</w:t>
      </w:r>
    </w:p>
    <w:p w14:paraId="286D9EC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《代码本（Codebook）》</w:t>
      </w:r>
    </w:p>
    <w:p w14:paraId="236EB1BD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《Pilot Filling 表（CRF 试填验证表）》</w:t>
      </w:r>
    </w:p>
    <w:p w14:paraId="33FD718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《数据采集 SOP》</w:t>
      </w:r>
    </w:p>
    <w:p w14:paraId="46C172AD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6. 《数据完整性检查表（Completeness Check）》</w:t>
      </w:r>
    </w:p>
    <w:p w14:paraId="01999B5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7. 《逻辑校验清单（Logical Consistency Checklist）》</w:t>
      </w:r>
    </w:p>
    <w:p w14:paraId="3138E023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8. 《数据冻结与锁定 SOP》</w:t>
      </w:r>
    </w:p>
    <w:p w14:paraId="0044C43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9. 《审计追踪（Audit Trail）模板》</w:t>
      </w:r>
    </w:p>
    <w:p w14:paraId="39F6645A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输出标准：</w:t>
      </w:r>
    </w:p>
    <w:p w14:paraId="40E297C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可用于统计分析的数据锁定数据库（ADS-ready）。</w:t>
      </w:r>
    </w:p>
    <w:p w14:paraId="2DA393B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Toolkit F：论文/专利与成果转化工具包</w:t>
      </w:r>
    </w:p>
    <w:p w14:paraId="33079F6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涵盖成果生成、写作与转化。</w:t>
      </w:r>
    </w:p>
    <w:p w14:paraId="2E8ED0A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主要内容：</w:t>
      </w:r>
    </w:p>
    <w:p w14:paraId="30420F9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《论文写作模板（IMRaD）》</w:t>
      </w:r>
    </w:p>
    <w:p w14:paraId="28935FED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《论文图表规范与模板》</w:t>
      </w:r>
    </w:p>
    <w:p w14:paraId="1D1D53D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《统计结果可视化规范（Visualization Guide）》</w:t>
      </w:r>
    </w:p>
    <w:p w14:paraId="6EE551B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《投稿期刊匹配表（Journal Mapping）》</w:t>
      </w:r>
    </w:p>
    <w:p w14:paraId="5B02F4E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《专利申请模板（Patent Template）》</w:t>
      </w:r>
    </w:p>
    <w:p w14:paraId="6504715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6. 《成果转化评估表（Impact Evaluation）》</w:t>
      </w:r>
    </w:p>
    <w:p w14:paraId="03D9167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7. 《SRWS 研究总结报告模板》</w:t>
      </w:r>
    </w:p>
    <w:p w14:paraId="77342BD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输出标准：</w:t>
      </w:r>
    </w:p>
    <w:p w14:paraId="2270F1D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论文/专利提交与成果转化路径明确。</w:t>
      </w:r>
    </w:p>
    <w:p w14:paraId="574F51B3">
      <w:pPr>
        <w:pStyle w:val="5"/>
        <w:bidi w:val="0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第三节  SRWS 工具包的使用规则</w:t>
      </w:r>
    </w:p>
    <w:p w14:paraId="099CBD5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为确保 SRWS 工具包的规范执行，各课题必须遵循以下规则：</w:t>
      </w:r>
    </w:p>
    <w:p w14:paraId="2FFF6D7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一、强制使用</w:t>
      </w:r>
      <w:r>
        <w:rPr>
          <w:rFonts w:hint="eastAsia" w:ascii="仿宋" w:hAnsi="仿宋" w:eastAsia="仿宋" w:cs="仿宋"/>
          <w:sz w:val="24"/>
          <w:szCs w:val="24"/>
        </w:rPr>
        <w:t>（Mandatory Use）</w:t>
      </w:r>
    </w:p>
    <w:p w14:paraId="38C65CC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所有进入 SRWS 的课题均必须使用对应工具包，不得完全自建模板；如需修改须经 SRWS-SC 审核。</w:t>
      </w:r>
    </w:p>
    <w:p w14:paraId="2887E0C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二、模块对应原则</w:t>
      </w:r>
      <w:r>
        <w:rPr>
          <w:rFonts w:hint="eastAsia" w:ascii="仿宋" w:hAnsi="仿宋" w:eastAsia="仿宋" w:cs="仿宋"/>
          <w:sz w:val="24"/>
          <w:szCs w:val="24"/>
        </w:rPr>
        <w:t>（Module-Match Rule）</w:t>
      </w:r>
    </w:p>
    <w:p w14:paraId="60CBF054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每个课题根据其研究类型，选择适用的模块工具包，例如：</w:t>
      </w:r>
    </w:p>
    <w:p w14:paraId="77A8A38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RWS → 全部模块适用</w:t>
      </w:r>
    </w:p>
    <w:p w14:paraId="5ECFC730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医工研发 → 工程–数据–专利模块加强</w:t>
      </w:r>
    </w:p>
    <w:p w14:paraId="38D2F5E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软科学 → 选题–文献–设计模块加强</w:t>
      </w:r>
    </w:p>
    <w:p w14:paraId="5AB1E6C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三、单个课题工具包建立“课题工具包文件夹”</w:t>
      </w:r>
    </w:p>
    <w:p w14:paraId="79FEF385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用于归档所有表单、SOP、记录与数据。</w:t>
      </w:r>
    </w:p>
    <w:p w14:paraId="4A08492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四、严禁跳步（No Skip Rule）</w:t>
      </w:r>
    </w:p>
    <w:p w14:paraId="1109813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工具包的每个表单均对应 QC 节点，未完成者不得进入下一阶段。</w:t>
      </w:r>
    </w:p>
    <w:p w14:paraId="7B2C1A81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第四节  工具包的质量控制（QC）与审核机制</w:t>
      </w:r>
    </w:p>
    <w:p w14:paraId="1C845DB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QC-1 文献工具包审核：检索策略、PRISMA、证据矩阵。</w:t>
      </w:r>
    </w:p>
    <w:p w14:paraId="0CAEB12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QC-2 Protocol 工具包审核：研究设计与 SAP 一致性。</w:t>
      </w:r>
    </w:p>
    <w:p w14:paraId="0480BFF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QC-3 CRF 工具包审核：试填与数据一致性。</w:t>
      </w:r>
    </w:p>
    <w:p w14:paraId="30692D8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QC-4 数据管理工具包审核：ADS 生成前审查。</w:t>
      </w:r>
    </w:p>
    <w:p w14:paraId="7FAA96A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QC-5 写作工具包审核：Manuscript Skeleton 与结果一致性。</w:t>
      </w:r>
    </w:p>
    <w:p w14:paraId="05A1840B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第五节  工具包的更新机制</w:t>
      </w:r>
    </w:p>
    <w:p w14:paraId="649803BB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工具包每年按照 SRWS 架构进行升级维护。</w:t>
      </w:r>
    </w:p>
    <w:p w14:paraId="096B7DC3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更新流程：</w:t>
      </w:r>
    </w:p>
    <w:p w14:paraId="330D381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1. Delphi 专家咨询（2轮）：对工具项进行评分与共识形成。</w:t>
      </w:r>
    </w:p>
    <w:p w14:paraId="107A54C8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2. 专家咨询会议：逐项审阅工具包条目。</w:t>
      </w:r>
    </w:p>
    <w:p w14:paraId="72281B06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3. 现场流程演示讨论会：验证工具包可操作性。</w:t>
      </w:r>
    </w:p>
    <w:p w14:paraId="7008DAD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4. 发布《SRWS 工具包（年度更新版）》。</w:t>
      </w:r>
    </w:p>
    <w:p w14:paraId="312552A7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5. 培训：所有科研人员完成年度培训后方可使用新版工具包。</w:t>
      </w:r>
    </w:p>
    <w:p w14:paraId="6348EDCF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第六节  工具包的可推广性</w:t>
      </w:r>
    </w:p>
    <w:p w14:paraId="10A6C80C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工具包可直接推广至：</w:t>
      </w:r>
    </w:p>
    <w:p w14:paraId="621B00CA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医院其他临床科室</w:t>
      </w:r>
    </w:p>
    <w:p w14:paraId="6BFEAE9E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盟市医院</w:t>
      </w:r>
    </w:p>
    <w:p w14:paraId="3B678B01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医师协会科研培训</w:t>
      </w:r>
    </w:p>
    <w:p w14:paraId="3C425EDF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区域科研能力提升示范点</w:t>
      </w:r>
    </w:p>
    <w:p w14:paraId="7FCC3FC9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* 临床科研与医工交叉合作研究平台</w:t>
      </w:r>
    </w:p>
    <w:p w14:paraId="3D78197A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形成可推广的“医院科研工作流标准体系”。</w:t>
      </w:r>
    </w:p>
    <w:p w14:paraId="57797284">
      <w:pPr>
        <w:pStyle w:val="4"/>
        <w:bidi w:val="0"/>
      </w:pPr>
      <w:r>
        <w:t>第六章 培训体系与能力建设</w:t>
      </w:r>
    </w:p>
    <w:p w14:paraId="3D0DC64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为确保标准化科研全流程体系（SRWS）在胃肠外科得到规范执行和可持续运行，本章构建“课程体系—能力等级—考核认证—持续提升”的培训体系，形成科室科研能力的系统性提升模式，逐步打造“可复制、可推广、可持续”的临床科研人才梯队。</w:t>
      </w:r>
    </w:p>
    <w:p w14:paraId="73FE7DFE">
      <w:pPr>
        <w:pStyle w:val="5"/>
        <w:bidi w:val="0"/>
        <w:rPr>
          <w:rFonts w:hint="eastAsia"/>
        </w:rPr>
      </w:pPr>
      <w:r>
        <w:rPr>
          <w:rFonts w:hint="eastAsia"/>
        </w:rPr>
        <w:t>第一节 SRWS 培训体系总体框架</w:t>
      </w:r>
    </w:p>
    <w:p w14:paraId="1C2A8208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培训体系采用“三层结构 + 四类对象 + 五级能力等级”的模式：</w:t>
      </w:r>
    </w:p>
    <w:p w14:paraId="7B67918D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一、培训体系三层结构</w:t>
      </w:r>
    </w:p>
    <w:p w14:paraId="39D7D044">
      <w:pPr>
        <w:pStyle w:val="30"/>
        <w:keepNext w:val="0"/>
        <w:keepLines w:val="0"/>
        <w:widowControl/>
        <w:numPr>
          <w:ilvl w:val="0"/>
          <w:numId w:val="2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基础层（Basic Level）</w:t>
      </w:r>
      <w:r>
        <w:rPr>
          <w:rFonts w:hint="eastAsia" w:ascii="仿宋" w:hAnsi="仿宋" w:eastAsia="仿宋" w:cs="仿宋"/>
          <w:sz w:val="24"/>
          <w:szCs w:val="24"/>
        </w:rPr>
        <w:t>：掌握科研基本知识与流程。</w:t>
      </w:r>
    </w:p>
    <w:p w14:paraId="6A9E0AEC">
      <w:pPr>
        <w:pStyle w:val="30"/>
        <w:keepNext w:val="0"/>
        <w:keepLines w:val="0"/>
        <w:widowControl/>
        <w:numPr>
          <w:ilvl w:val="0"/>
          <w:numId w:val="2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进阶层（Advanced Level）</w:t>
      </w:r>
      <w:r>
        <w:rPr>
          <w:rFonts w:hint="eastAsia" w:ascii="仿宋" w:hAnsi="仿宋" w:eastAsia="仿宋" w:cs="仿宋"/>
          <w:sz w:val="24"/>
          <w:szCs w:val="24"/>
        </w:rPr>
        <w:t>：掌握 SRWS 全流程与关键方法学。</w:t>
      </w:r>
    </w:p>
    <w:p w14:paraId="1ADD9A47">
      <w:pPr>
        <w:pStyle w:val="30"/>
        <w:keepNext w:val="0"/>
        <w:keepLines w:val="0"/>
        <w:widowControl/>
        <w:numPr>
          <w:ilvl w:val="0"/>
          <w:numId w:val="2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专家层（Expert Level）</w:t>
      </w:r>
      <w:r>
        <w:rPr>
          <w:rFonts w:hint="eastAsia" w:ascii="仿宋" w:hAnsi="仿宋" w:eastAsia="仿宋" w:cs="仿宋"/>
          <w:sz w:val="24"/>
          <w:szCs w:val="24"/>
        </w:rPr>
        <w:t>：具备独立设计课题、主导研究、指导他人的能力。</w:t>
      </w:r>
    </w:p>
    <w:p w14:paraId="30973BCE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二、四类受训对象</w:t>
      </w:r>
    </w:p>
    <w:p w14:paraId="02B7061A">
      <w:pPr>
        <w:pStyle w:val="30"/>
        <w:keepNext w:val="0"/>
        <w:keepLines w:val="0"/>
        <w:widowControl/>
        <w:numPr>
          <w:ilvl w:val="0"/>
          <w:numId w:val="2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PI（课题负责人）</w:t>
      </w:r>
    </w:p>
    <w:p w14:paraId="684A38F7">
      <w:pPr>
        <w:pStyle w:val="30"/>
        <w:keepNext w:val="0"/>
        <w:keepLines w:val="0"/>
        <w:widowControl/>
        <w:numPr>
          <w:ilvl w:val="0"/>
          <w:numId w:val="2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主治及以上科研骨干</w:t>
      </w:r>
    </w:p>
    <w:p w14:paraId="50DA4945">
      <w:pPr>
        <w:pStyle w:val="30"/>
        <w:keepNext w:val="0"/>
        <w:keepLines w:val="0"/>
        <w:widowControl/>
        <w:numPr>
          <w:ilvl w:val="0"/>
          <w:numId w:val="2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科研助理（RA）及数据管理人员</w:t>
      </w:r>
    </w:p>
    <w:p w14:paraId="34BFA4F7">
      <w:pPr>
        <w:pStyle w:val="30"/>
        <w:keepNext w:val="0"/>
        <w:keepLines w:val="0"/>
        <w:widowControl/>
        <w:numPr>
          <w:ilvl w:val="0"/>
          <w:numId w:val="2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实习/规培住院医师与研究生</w:t>
      </w:r>
    </w:p>
    <w:p w14:paraId="0BCC8476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三、五级科研能力等级</w:t>
      </w:r>
    </w:p>
    <w:p w14:paraId="61F86958">
      <w:pPr>
        <w:pStyle w:val="30"/>
        <w:keepNext w:val="0"/>
        <w:keepLines w:val="0"/>
        <w:widowControl/>
        <w:numPr>
          <w:ilvl w:val="0"/>
          <w:numId w:val="2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Level 1：科研入门</w:t>
      </w:r>
    </w:p>
    <w:p w14:paraId="55D6794E">
      <w:pPr>
        <w:pStyle w:val="30"/>
        <w:keepNext w:val="0"/>
        <w:keepLines w:val="0"/>
        <w:widowControl/>
        <w:numPr>
          <w:ilvl w:val="0"/>
          <w:numId w:val="2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Level 2：规范执行者</w:t>
      </w:r>
    </w:p>
    <w:p w14:paraId="66CBA573">
      <w:pPr>
        <w:pStyle w:val="30"/>
        <w:keepNext w:val="0"/>
        <w:keepLines w:val="0"/>
        <w:widowControl/>
        <w:numPr>
          <w:ilvl w:val="0"/>
          <w:numId w:val="2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Level 3：独立研究者</w:t>
      </w:r>
    </w:p>
    <w:p w14:paraId="2D640EA1">
      <w:pPr>
        <w:pStyle w:val="30"/>
        <w:keepNext w:val="0"/>
        <w:keepLines w:val="0"/>
        <w:widowControl/>
        <w:numPr>
          <w:ilvl w:val="0"/>
          <w:numId w:val="2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Level 4：多课题管理者</w:t>
      </w:r>
    </w:p>
    <w:p w14:paraId="4C829A4C">
      <w:pPr>
        <w:pStyle w:val="30"/>
        <w:keepNext w:val="0"/>
        <w:keepLines w:val="0"/>
        <w:widowControl/>
        <w:numPr>
          <w:ilvl w:val="0"/>
          <w:numId w:val="2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Level 5：体系与方法学建设者</w:t>
      </w:r>
    </w:p>
    <w:p w14:paraId="1B3EDD25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第二节 SRWS 培训内容矩阵（Training Matrix）</w:t>
      </w:r>
    </w:p>
    <w:p w14:paraId="0039ED47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依据八大模块，形成覆盖科研全过程的结构化课程体系，分为理论、实操与案例三大部分。</w:t>
      </w:r>
    </w:p>
    <w:p w14:paraId="16972EC5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一、理论模块（Theory）</w:t>
      </w:r>
    </w:p>
    <w:tbl>
      <w:tblPr>
        <w:tblStyle w:val="33"/>
        <w:tblW w:w="8413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67"/>
        <w:gridCol w:w="5274"/>
        <w:gridCol w:w="1172"/>
      </w:tblGrid>
      <w:tr w14:paraId="02DF8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922" w:type="dxa"/>
            <w:shd w:val="clear" w:color="auto" w:fill="auto"/>
            <w:vAlign w:val="center"/>
          </w:tcPr>
          <w:p w14:paraId="363A40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模块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4C9A67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内容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39FC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适用对象</w:t>
            </w:r>
          </w:p>
        </w:tc>
      </w:tr>
      <w:tr w14:paraId="78441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22" w:type="dxa"/>
            <w:shd w:val="clear" w:color="auto" w:fill="auto"/>
            <w:vAlign w:val="center"/>
          </w:tcPr>
          <w:p w14:paraId="1FCDE1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SRWS 总论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52F1BA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体系结构、八大模块、里程碑、QC 节点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2FC3A5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全体</w:t>
            </w:r>
          </w:p>
        </w:tc>
      </w:tr>
      <w:tr w14:paraId="43E7E9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22" w:type="dxa"/>
            <w:shd w:val="clear" w:color="auto" w:fill="auto"/>
            <w:vAlign w:val="center"/>
          </w:tcPr>
          <w:p w14:paraId="6BD996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研究设计学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5F0E23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RWS、IST、RCT、队列、病例对照、偏倚控制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32708D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PI/主治</w:t>
            </w:r>
          </w:p>
        </w:tc>
      </w:tr>
      <w:tr w14:paraId="75F638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22" w:type="dxa"/>
            <w:shd w:val="clear" w:color="auto" w:fill="auto"/>
            <w:vAlign w:val="center"/>
          </w:tcPr>
          <w:p w14:paraId="3F9CC2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科研伦理与合规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23C898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ICF、隐私保护、数据安全、AI/医工伦理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0A4CCC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PI/RA</w:t>
            </w:r>
          </w:p>
        </w:tc>
      </w:tr>
      <w:tr w14:paraId="4FF143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22" w:type="dxa"/>
            <w:shd w:val="clear" w:color="auto" w:fill="auto"/>
            <w:vAlign w:val="center"/>
          </w:tcPr>
          <w:p w14:paraId="15D6D5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统计学基础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5423CD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回归、假设检验、样本量、PSM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85310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主治/RA</w:t>
            </w:r>
          </w:p>
        </w:tc>
      </w:tr>
      <w:tr w14:paraId="62EF0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22" w:type="dxa"/>
            <w:shd w:val="clear" w:color="auto" w:fill="auto"/>
            <w:vAlign w:val="center"/>
          </w:tcPr>
          <w:p w14:paraId="686566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文献检索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053E48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MeSH、PRISMA、证据矩阵</w:t>
            </w:r>
          </w:p>
        </w:tc>
        <w:tc>
          <w:tcPr>
            <w:tcW w:w="1127" w:type="dxa"/>
            <w:shd w:val="clear" w:color="auto" w:fill="auto"/>
            <w:vAlign w:val="center"/>
          </w:tcPr>
          <w:p w14:paraId="77BED1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RA/住培</w:t>
            </w:r>
          </w:p>
        </w:tc>
      </w:tr>
    </w:tbl>
    <w:p w14:paraId="38E670D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</w:p>
    <w:p w14:paraId="6D25D898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二、实操模块（Practical Skills）</w:t>
      </w:r>
    </w:p>
    <w:tbl>
      <w:tblPr>
        <w:tblStyle w:val="33"/>
        <w:tblW w:w="8413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87"/>
        <w:gridCol w:w="4359"/>
        <w:gridCol w:w="1467"/>
      </w:tblGrid>
      <w:tr w14:paraId="73E67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542" w:type="dxa"/>
            <w:shd w:val="clear" w:color="auto" w:fill="auto"/>
            <w:vAlign w:val="center"/>
          </w:tcPr>
          <w:p w14:paraId="0798D98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模块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709D4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具体技能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4E574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输出</w:t>
            </w:r>
          </w:p>
        </w:tc>
      </w:tr>
      <w:tr w14:paraId="7D14FC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42" w:type="dxa"/>
            <w:shd w:val="clear" w:color="auto" w:fill="auto"/>
            <w:vAlign w:val="center"/>
          </w:tcPr>
          <w:p w14:paraId="510D2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文献检索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5E1FB8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PubMed/Cochrane 检索、PRISMA 流程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1600EF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检索记录</w:t>
            </w:r>
          </w:p>
        </w:tc>
      </w:tr>
      <w:tr w14:paraId="2E09D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42" w:type="dxa"/>
            <w:shd w:val="clear" w:color="auto" w:fill="auto"/>
            <w:vAlign w:val="center"/>
          </w:tcPr>
          <w:p w14:paraId="3D4411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CRF 设计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2D60E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数据字典、CRF、代码本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34B5FE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Final CRF</w:t>
            </w:r>
          </w:p>
        </w:tc>
      </w:tr>
      <w:tr w14:paraId="1F706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42" w:type="dxa"/>
            <w:shd w:val="clear" w:color="auto" w:fill="auto"/>
            <w:vAlign w:val="center"/>
          </w:tcPr>
          <w:p w14:paraId="0CE4E3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数据管理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76DAFA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数据采集、逻辑检查、清洗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4BB5D1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QC 报告</w:t>
            </w:r>
          </w:p>
        </w:tc>
      </w:tr>
      <w:tr w14:paraId="499701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42" w:type="dxa"/>
            <w:shd w:val="clear" w:color="auto" w:fill="auto"/>
            <w:vAlign w:val="center"/>
          </w:tcPr>
          <w:p w14:paraId="61312F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统计执行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2C27B3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R/Python 实操、图表绘制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6D6862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ADS 数据集</w:t>
            </w:r>
          </w:p>
        </w:tc>
      </w:tr>
      <w:tr w14:paraId="73AED9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42" w:type="dxa"/>
            <w:shd w:val="clear" w:color="auto" w:fill="auto"/>
            <w:vAlign w:val="center"/>
          </w:tcPr>
          <w:p w14:paraId="7DAC70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Manuscript Skeleton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3FEA13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论文骨架、图表包、写作流程</w:t>
            </w:r>
          </w:p>
        </w:tc>
        <w:tc>
          <w:tcPr>
            <w:tcW w:w="1422" w:type="dxa"/>
            <w:shd w:val="clear" w:color="auto" w:fill="auto"/>
            <w:vAlign w:val="center"/>
          </w:tcPr>
          <w:p w14:paraId="402D09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初稿</w:t>
            </w:r>
          </w:p>
        </w:tc>
      </w:tr>
    </w:tbl>
    <w:p w14:paraId="38D785EA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</w:p>
    <w:p w14:paraId="31F56D5F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三、案例模块（Case-based Learning）</w:t>
      </w:r>
    </w:p>
    <w:p w14:paraId="4F25E9F0">
      <w:pPr>
        <w:pStyle w:val="30"/>
        <w:keepNext w:val="0"/>
        <w:keepLines w:val="0"/>
        <w:widowControl/>
        <w:numPr>
          <w:ilvl w:val="0"/>
          <w:numId w:val="26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已发表论文案例解析（科室既往成果）</w:t>
      </w:r>
    </w:p>
    <w:p w14:paraId="141120DD">
      <w:pPr>
        <w:pStyle w:val="30"/>
        <w:keepNext w:val="0"/>
        <w:keepLines w:val="0"/>
        <w:widowControl/>
        <w:numPr>
          <w:ilvl w:val="0"/>
          <w:numId w:val="26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失败课题问题复盘（偏倚、数据质量、统计问题）</w:t>
      </w:r>
    </w:p>
    <w:p w14:paraId="55CB6E3E">
      <w:pPr>
        <w:pStyle w:val="30"/>
        <w:keepNext w:val="0"/>
        <w:keepLines w:val="0"/>
        <w:widowControl/>
        <w:numPr>
          <w:ilvl w:val="0"/>
          <w:numId w:val="26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医工交叉项目案例（例如腹腔镜机械臂、CETC装置）</w:t>
      </w:r>
    </w:p>
    <w:p w14:paraId="7E7174A3">
      <w:pPr>
        <w:pStyle w:val="30"/>
        <w:keepNext w:val="0"/>
        <w:keepLines w:val="0"/>
        <w:widowControl/>
        <w:numPr>
          <w:ilvl w:val="0"/>
          <w:numId w:val="26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RWS 真实数据库案例（空肠间置术、PRI、PoRA-6）</w:t>
      </w:r>
    </w:p>
    <w:p w14:paraId="5926F302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第三节 角色导向的培训路径（Role-based Pathways）</w:t>
      </w:r>
    </w:p>
    <w:p w14:paraId="3CFAD25D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区分不同角色的能力要求，形成针对性培训路径。</w:t>
      </w:r>
    </w:p>
    <w:p w14:paraId="5CE69BCD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一、PI 培训路径（6个月）</w:t>
      </w:r>
    </w:p>
    <w:p w14:paraId="776E58A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阶段目标：从“执行者”成长为“独立设计者”。</w:t>
      </w:r>
    </w:p>
    <w:p w14:paraId="3704B45C">
      <w:pPr>
        <w:pStyle w:val="30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核心内容：</w:t>
      </w:r>
    </w:p>
    <w:p w14:paraId="59B44958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全流程</w:t>
      </w:r>
    </w:p>
    <w:p w14:paraId="60419BE3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RWS/RCT 设计</w:t>
      </w:r>
    </w:p>
    <w:p w14:paraId="698BAA8F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样本量估算（G*Power）</w:t>
      </w:r>
    </w:p>
    <w:p w14:paraId="286E13C2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高级统计（多变量模型）</w:t>
      </w:r>
    </w:p>
    <w:p w14:paraId="506F8A87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Manuscript Skeleton 构建</w:t>
      </w:r>
    </w:p>
    <w:p w14:paraId="5EC377AE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课题管理（进度、QC、团队管理）</w:t>
      </w:r>
    </w:p>
    <w:p w14:paraId="029D731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完成要求：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独立提交一份可通过伦理的科研方案。</w:t>
      </w:r>
    </w:p>
    <w:p w14:paraId="5B37A0AD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二、科研助理（RA）培训路径（4个月）</w:t>
      </w:r>
    </w:p>
    <w:p w14:paraId="40DEC54E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阶段目标：成为 SRWS 的流程核心执行者。</w:t>
      </w:r>
    </w:p>
    <w:p w14:paraId="29C44A5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核心内容：</w:t>
      </w:r>
    </w:p>
    <w:p w14:paraId="28CF4209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文献检索与证据整合</w:t>
      </w:r>
    </w:p>
    <w:p w14:paraId="12384EEE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CRF/数据字典设计</w:t>
      </w:r>
    </w:p>
    <w:p w14:paraId="082D2C87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数据清洗（R/Python）</w:t>
      </w:r>
    </w:p>
    <w:p w14:paraId="088721DC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 节点执行</w:t>
      </w:r>
    </w:p>
    <w:p w14:paraId="27736EB9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统计脚本复现</w:t>
      </w:r>
    </w:p>
    <w:p w14:paraId="76F34A24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文件归档与 Audit Trail</w:t>
      </w:r>
    </w:p>
    <w:p w14:paraId="706AEAD7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完成要求：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能够独立完成 T0–T6 的所有流程文件。</w:t>
      </w:r>
    </w:p>
    <w:p w14:paraId="4BE8F70C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三、主治/青年骨干培训路径（6个月）</w:t>
      </w:r>
    </w:p>
    <w:p w14:paraId="76581785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阶段目标：从“操作型科研”过渡到“方案型科研”。</w:t>
      </w:r>
    </w:p>
    <w:p w14:paraId="77017CB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核心内容：</w:t>
      </w:r>
    </w:p>
    <w:p w14:paraId="3CAC5074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模块化操作</w:t>
      </w:r>
    </w:p>
    <w:p w14:paraId="2014B72B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科研伦理</w:t>
      </w:r>
    </w:p>
    <w:p w14:paraId="05E5A087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临床数据质量管理</w:t>
      </w:r>
    </w:p>
    <w:p w14:paraId="577A82BD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论文撰写（图表、统计描述）</w:t>
      </w:r>
    </w:p>
    <w:p w14:paraId="4B6DDF88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专利写作基础</w:t>
      </w:r>
    </w:p>
    <w:p w14:paraId="22CED6BC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完成要求：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参与并完成至少一个课题的全流程执行。</w:t>
      </w:r>
    </w:p>
    <w:p w14:paraId="709B9313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四、住培与研究生培训路径（12个月）</w:t>
      </w:r>
    </w:p>
    <w:p w14:paraId="509E1DF4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阶段目标：建立科研基本素养。</w:t>
      </w:r>
    </w:p>
    <w:p w14:paraId="67DF8770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核心内容：</w:t>
      </w:r>
    </w:p>
    <w:p w14:paraId="76857718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科研基础知识</w:t>
      </w:r>
    </w:p>
    <w:p w14:paraId="4D01006A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文献检索与阅读</w:t>
      </w:r>
    </w:p>
    <w:p w14:paraId="7084FBA1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数据录入规范</w:t>
      </w:r>
    </w:p>
    <w:p w14:paraId="3F112268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图表绘制</w:t>
      </w:r>
    </w:p>
    <w:p w14:paraId="10EFD2DD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基础统计（t 检验、卡方、回归入门）</w:t>
      </w:r>
    </w:p>
    <w:p w14:paraId="3CFC263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完成要求：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Fonts w:hint="eastAsia" w:ascii="仿宋" w:hAnsi="仿宋" w:eastAsia="仿宋" w:cs="仿宋"/>
          <w:sz w:val="24"/>
          <w:szCs w:val="24"/>
        </w:rPr>
        <w:t>完成至少一篇文献综述或课题子任务。</w:t>
      </w:r>
    </w:p>
    <w:p w14:paraId="78E84033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第四节 培训考核与认证体系（Certification System）</w:t>
      </w:r>
    </w:p>
    <w:p w14:paraId="6EC935A9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采用“过程性考核 + 结果性考核 + 能力认证（SRWS-C）”三段模式。</w:t>
      </w:r>
    </w:p>
    <w:p w14:paraId="2207A9EB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一、过程性考核</w:t>
      </w:r>
    </w:p>
    <w:p w14:paraId="4C38BDA9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包括：</w:t>
      </w:r>
    </w:p>
    <w:p w14:paraId="6A2752D6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出勤（不少于 80%）</w:t>
      </w:r>
    </w:p>
    <w:p w14:paraId="09D87B1D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课后作业（检索、CRF、统计代码）</w:t>
      </w:r>
    </w:p>
    <w:p w14:paraId="63CE92F6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小测验</w:t>
      </w:r>
    </w:p>
    <w:p w14:paraId="2C86CBF8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二、结果性考核</w:t>
      </w:r>
    </w:p>
    <w:p w14:paraId="106E171B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根据角色不同，包括：</w:t>
      </w:r>
    </w:p>
    <w:p w14:paraId="2EEEEC33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完整的 PRISMA 流程</w:t>
      </w:r>
    </w:p>
    <w:p w14:paraId="139F1F6C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设计一份 CRF</w:t>
      </w:r>
    </w:p>
    <w:p w14:paraId="6982A52E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完成一次统计分析（R/Python）</w:t>
      </w:r>
    </w:p>
    <w:p w14:paraId="5FCC08D7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设计一份 Manuscript Skeleton</w:t>
      </w:r>
    </w:p>
    <w:p w14:paraId="3A0E6535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完成一项 SRWS QC 节点检查</w:t>
      </w:r>
    </w:p>
    <w:p w14:paraId="14D424F9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三、SRWS 能力认证（SRWS-C）</w:t>
      </w:r>
    </w:p>
    <w:p w14:paraId="7709AC34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共分三类证书：</w:t>
      </w:r>
    </w:p>
    <w:p w14:paraId="737D25CC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SRWS-PI 资格证书</w:t>
      </w:r>
      <w:r>
        <w:rPr>
          <w:rFonts w:hint="eastAsia" w:ascii="仿宋" w:hAnsi="仿宋" w:eastAsia="仿宋" w:cs="仿宋"/>
          <w:sz w:val="24"/>
          <w:szCs w:val="24"/>
        </w:rPr>
        <w:t>（课题负责人）</w:t>
      </w:r>
    </w:p>
    <w:p w14:paraId="3B7B98FF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SRWS-RA 资格证书</w:t>
      </w:r>
      <w:r>
        <w:rPr>
          <w:rFonts w:hint="eastAsia" w:ascii="仿宋" w:hAnsi="仿宋" w:eastAsia="仿宋" w:cs="仿宋"/>
          <w:sz w:val="24"/>
          <w:szCs w:val="24"/>
        </w:rPr>
        <w:t>（科研助理）</w:t>
      </w:r>
    </w:p>
    <w:p w14:paraId="5834FE18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SRWS-Operator 证书</w:t>
      </w:r>
      <w:r>
        <w:rPr>
          <w:rFonts w:hint="eastAsia" w:ascii="仿宋" w:hAnsi="仿宋" w:eastAsia="仿宋" w:cs="仿宋"/>
          <w:sz w:val="24"/>
          <w:szCs w:val="24"/>
        </w:rPr>
        <w:t>（住培/研究生）</w:t>
      </w:r>
    </w:p>
    <w:p w14:paraId="06DD4AD4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认证通过者方可承担对应的科研角色。</w:t>
      </w:r>
    </w:p>
    <w:p w14:paraId="27596FDB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第五节 能力建设与梯队化发展（Capacity Building）</w:t>
      </w:r>
    </w:p>
    <w:p w14:paraId="21A6203F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为实现科室科研可持续发展，SRWS 明确建设“三线梯队”：</w:t>
      </w:r>
    </w:p>
    <w:p w14:paraId="7232216F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一、第一梯队：学科带头人与核心 PI</w:t>
      </w:r>
    </w:p>
    <w:p w14:paraId="2676BBD0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负责顶层设计</w:t>
      </w:r>
    </w:p>
    <w:p w14:paraId="78090CF8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主持重点课题</w:t>
      </w:r>
    </w:p>
    <w:p w14:paraId="22EABA97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指导青年人才</w:t>
      </w:r>
    </w:p>
    <w:p w14:paraId="0FA6559A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主导 SRWS 升级</w:t>
      </w:r>
    </w:p>
    <w:p w14:paraId="5148B08A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二、第二梯队：青年主治与科研助理</w:t>
      </w:r>
    </w:p>
    <w:p w14:paraId="4502F7CA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构成 SRWS 主要执行力量</w:t>
      </w:r>
    </w:p>
    <w:p w14:paraId="70A56A08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承担课题的推进与数据管理</w:t>
      </w:r>
    </w:p>
    <w:p w14:paraId="0B7A2EB5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形成骨干研究团队</w:t>
      </w:r>
    </w:p>
    <w:p w14:paraId="5D4B2F99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三、第三梯队：住培、研究生、进修人员</w:t>
      </w:r>
    </w:p>
    <w:p w14:paraId="68DF9E9D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完成基础科研训练</w:t>
      </w:r>
    </w:p>
    <w:p w14:paraId="7390FFFA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参与课题辅助工作</w:t>
      </w:r>
    </w:p>
    <w:p w14:paraId="5809990D">
      <w:pPr>
        <w:pStyle w:val="30"/>
        <w:keepNext w:val="0"/>
        <w:keepLines w:val="0"/>
        <w:widowControl/>
        <w:numPr>
          <w:ilvl w:val="0"/>
          <w:numId w:val="2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作为未来科研人才储备</w:t>
      </w:r>
    </w:p>
    <w:p w14:paraId="4441E7F9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第六节 培训平台与资源建设</w:t>
      </w:r>
    </w:p>
    <w:p w14:paraId="34DD001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为保障培训的标准化与高效化，建设以下平台：</w:t>
      </w:r>
    </w:p>
    <w:p w14:paraId="34D306B5">
      <w:pPr>
        <w:pStyle w:val="30"/>
        <w:keepNext w:val="0"/>
        <w:keepLines w:val="0"/>
        <w:widowControl/>
        <w:numPr>
          <w:ilvl w:val="0"/>
          <w:numId w:val="2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SRWS 在线培训平台（LMS）</w:t>
      </w:r>
    </w:p>
    <w:p w14:paraId="150750B2">
      <w:pPr>
        <w:pStyle w:val="30"/>
        <w:keepNext w:val="0"/>
        <w:keepLines w:val="0"/>
        <w:widowControl/>
        <w:numPr>
          <w:ilvl w:val="0"/>
          <w:numId w:val="2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科研方法学视频课程库</w:t>
      </w:r>
    </w:p>
    <w:p w14:paraId="21934C26">
      <w:pPr>
        <w:pStyle w:val="30"/>
        <w:keepNext w:val="0"/>
        <w:keepLines w:val="0"/>
        <w:widowControl/>
        <w:numPr>
          <w:ilvl w:val="0"/>
          <w:numId w:val="2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Data Sandbox（数据沙盒）</w:t>
      </w:r>
      <w:r>
        <w:rPr>
          <w:rFonts w:hint="eastAsia" w:ascii="仿宋" w:hAnsi="仿宋" w:eastAsia="仿宋" w:cs="仿宋"/>
          <w:sz w:val="24"/>
          <w:szCs w:val="24"/>
        </w:rPr>
        <w:t>：用于统计训练</w:t>
      </w:r>
    </w:p>
    <w:p w14:paraId="08331CCD">
      <w:pPr>
        <w:pStyle w:val="30"/>
        <w:keepNext w:val="0"/>
        <w:keepLines w:val="0"/>
        <w:widowControl/>
        <w:numPr>
          <w:ilvl w:val="0"/>
          <w:numId w:val="2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图表与写作模板库</w:t>
      </w:r>
    </w:p>
    <w:p w14:paraId="7C13B9CE">
      <w:pPr>
        <w:pStyle w:val="30"/>
        <w:keepNext w:val="0"/>
        <w:keepLines w:val="0"/>
        <w:widowControl/>
        <w:numPr>
          <w:ilvl w:val="0"/>
          <w:numId w:val="2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科研技能月度 Workshop</w:t>
      </w:r>
    </w:p>
    <w:p w14:paraId="7991832B">
      <w:pPr>
        <w:pStyle w:val="30"/>
        <w:keepNext w:val="0"/>
        <w:keepLines w:val="0"/>
        <w:widowControl/>
        <w:numPr>
          <w:ilvl w:val="0"/>
          <w:numId w:val="2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跨院、跨学科教学合作</w:t>
      </w:r>
      <w:r>
        <w:rPr>
          <w:rFonts w:hint="eastAsia" w:ascii="仿宋" w:hAnsi="仿宋" w:eastAsia="仿宋" w:cs="仿宋"/>
          <w:sz w:val="24"/>
          <w:szCs w:val="24"/>
        </w:rPr>
        <w:t>（西安交大、医师协会）</w:t>
      </w:r>
    </w:p>
    <w:p w14:paraId="06A0E80E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第七节 持续改进机制</w:t>
      </w:r>
    </w:p>
    <w:p w14:paraId="0608AA75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培训体系每年进行一次全流程迭代：</w:t>
      </w:r>
    </w:p>
    <w:p w14:paraId="1B4984DF">
      <w:pPr>
        <w:pStyle w:val="30"/>
        <w:keepNext w:val="0"/>
        <w:keepLines w:val="0"/>
        <w:widowControl/>
        <w:numPr>
          <w:ilvl w:val="0"/>
          <w:numId w:val="29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年度培训需求调查</w:t>
      </w:r>
    </w:p>
    <w:p w14:paraId="3689EE52">
      <w:pPr>
        <w:pStyle w:val="30"/>
        <w:keepNext w:val="0"/>
        <w:keepLines w:val="0"/>
        <w:widowControl/>
        <w:numPr>
          <w:ilvl w:val="0"/>
          <w:numId w:val="29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SRWS-SC 年度审查</w:t>
      </w:r>
    </w:p>
    <w:p w14:paraId="0A420469">
      <w:pPr>
        <w:pStyle w:val="30"/>
        <w:keepNext w:val="0"/>
        <w:keepLines w:val="0"/>
        <w:widowControl/>
        <w:numPr>
          <w:ilvl w:val="0"/>
          <w:numId w:val="29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工具包更新同步培训</w:t>
      </w:r>
    </w:p>
    <w:p w14:paraId="0C10E963">
      <w:pPr>
        <w:pStyle w:val="30"/>
        <w:keepNext w:val="0"/>
        <w:keepLines w:val="0"/>
        <w:widowControl/>
        <w:numPr>
          <w:ilvl w:val="0"/>
          <w:numId w:val="29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完成质量评估（培训效果、科研产出）</w:t>
      </w:r>
    </w:p>
    <w:p w14:paraId="20C19674">
      <w:pPr>
        <w:pStyle w:val="30"/>
        <w:keepNext w:val="0"/>
        <w:keepLines w:val="0"/>
        <w:widowControl/>
        <w:numPr>
          <w:ilvl w:val="0"/>
          <w:numId w:val="29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发布《SRWS 年度培训报告》</w:t>
      </w:r>
    </w:p>
    <w:p w14:paraId="78979719">
      <w:pPr>
        <w:pStyle w:val="30"/>
        <w:keepNext w:val="0"/>
        <w:keepLines w:val="0"/>
        <w:widowControl/>
        <w:numPr>
          <w:ilvl w:val="0"/>
          <w:numId w:val="29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形成“培训—执行—反馈—优化”的 PDCA 循环。</w:t>
      </w:r>
    </w:p>
    <w:p w14:paraId="24CE2E2E">
      <w:pPr>
        <w:pStyle w:val="4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第七章 绩效与质量评价体系</w:t>
      </w:r>
    </w:p>
    <w:p w14:paraId="70D8401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本章旨在建立与 SRWS 匹配的科研绩效与质量评价体系，以实现科研工作的过程可控、结果可量化、运行可追溯、人员可激励，从而推动科室科研体系化、高质量发展。</w:t>
      </w:r>
    </w:p>
    <w:p w14:paraId="1EBE48D9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本体系涵盖：</w:t>
      </w:r>
    </w:p>
    <w:p w14:paraId="3A51B845">
      <w:pPr>
        <w:pStyle w:val="30"/>
        <w:keepNext w:val="0"/>
        <w:keepLines w:val="0"/>
        <w:widowControl/>
        <w:numPr>
          <w:ilvl w:val="0"/>
          <w:numId w:val="3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绩效指标体系（KPI）</w:t>
      </w:r>
    </w:p>
    <w:p w14:paraId="1F9F0078">
      <w:pPr>
        <w:pStyle w:val="30"/>
        <w:keepNext w:val="0"/>
        <w:keepLines w:val="0"/>
        <w:widowControl/>
        <w:numPr>
          <w:ilvl w:val="0"/>
          <w:numId w:val="3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质量评价体系（QES）</w:t>
      </w:r>
    </w:p>
    <w:p w14:paraId="20AA76AB">
      <w:pPr>
        <w:pStyle w:val="30"/>
        <w:keepNext w:val="0"/>
        <w:keepLines w:val="0"/>
        <w:widowControl/>
        <w:numPr>
          <w:ilvl w:val="0"/>
          <w:numId w:val="3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角色绩效体系（RPI）</w:t>
      </w:r>
    </w:p>
    <w:p w14:paraId="5D4F0110">
      <w:pPr>
        <w:pStyle w:val="30"/>
        <w:keepNext w:val="0"/>
        <w:keepLines w:val="0"/>
        <w:widowControl/>
        <w:numPr>
          <w:ilvl w:val="0"/>
          <w:numId w:val="3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课题评估体系（PMS）</w:t>
      </w:r>
    </w:p>
    <w:p w14:paraId="07336CF8">
      <w:pPr>
        <w:pStyle w:val="30"/>
        <w:keepNext w:val="0"/>
        <w:keepLines w:val="0"/>
        <w:widowControl/>
        <w:numPr>
          <w:ilvl w:val="0"/>
          <w:numId w:val="3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体系运行评价（SRWS-QA）</w:t>
      </w:r>
    </w:p>
    <w:p w14:paraId="7AF80696">
      <w:pPr>
        <w:pStyle w:val="30"/>
        <w:keepNext w:val="0"/>
        <w:keepLines w:val="0"/>
        <w:widowControl/>
        <w:numPr>
          <w:ilvl w:val="0"/>
          <w:numId w:val="3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持续改进机制（PDCA）</w:t>
      </w:r>
    </w:p>
    <w:p w14:paraId="2664252A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第一节 绩效指标体系（KPI System）</w:t>
      </w:r>
    </w:p>
    <w:p w14:paraId="05A40B30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KPI 建立在“过程–数据–成果”三维结构之上，与 SRWS 八大模块一一对应。</w:t>
      </w:r>
    </w:p>
    <w:p w14:paraId="0D4A4044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一、过程绩效（Process KPI）—占比 40%</w:t>
      </w:r>
    </w:p>
    <w:p w14:paraId="6AF3A18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关注课题执行的规范性、一致性与按时达成率。</w:t>
      </w:r>
    </w:p>
    <w:tbl>
      <w:tblPr>
        <w:tblStyle w:val="33"/>
        <w:tblW w:w="8413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83"/>
        <w:gridCol w:w="4724"/>
        <w:gridCol w:w="1506"/>
      </w:tblGrid>
      <w:tr w14:paraId="3E1E1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138" w:type="dxa"/>
            <w:shd w:val="clear" w:color="auto" w:fill="auto"/>
            <w:vAlign w:val="center"/>
          </w:tcPr>
          <w:p w14:paraId="48943C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554BC4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指标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2B2F90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评价方法</w:t>
            </w:r>
          </w:p>
        </w:tc>
      </w:tr>
      <w:tr w14:paraId="382C0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38" w:type="dxa"/>
            <w:shd w:val="clear" w:color="auto" w:fill="auto"/>
            <w:vAlign w:val="center"/>
          </w:tcPr>
          <w:p w14:paraId="345E69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选题前置化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5E86E2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T0、T1 完成率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2725A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量化记录</w:t>
            </w:r>
          </w:p>
        </w:tc>
      </w:tr>
      <w:tr w14:paraId="04D43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38" w:type="dxa"/>
            <w:shd w:val="clear" w:color="auto" w:fill="auto"/>
            <w:vAlign w:val="center"/>
          </w:tcPr>
          <w:p w14:paraId="630BFB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文献与证据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0B56EC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PRISMA 完整度、证据矩阵质量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0F2A5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QC-1</w:t>
            </w:r>
          </w:p>
        </w:tc>
      </w:tr>
      <w:tr w14:paraId="28FF82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38" w:type="dxa"/>
            <w:shd w:val="clear" w:color="auto" w:fill="auto"/>
            <w:vAlign w:val="center"/>
          </w:tcPr>
          <w:p w14:paraId="3DE196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Protocol/SAP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702B88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一次性审核通过率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46C612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QC-2</w:t>
            </w:r>
          </w:p>
        </w:tc>
      </w:tr>
      <w:tr w14:paraId="5DD6B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38" w:type="dxa"/>
            <w:shd w:val="clear" w:color="auto" w:fill="auto"/>
            <w:vAlign w:val="center"/>
          </w:tcPr>
          <w:p w14:paraId="029039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CRF/数据字典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783FFD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完整性、逻辑一致性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0EB874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QC-3</w:t>
            </w:r>
          </w:p>
        </w:tc>
      </w:tr>
      <w:tr w14:paraId="6E7A2C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38" w:type="dxa"/>
            <w:shd w:val="clear" w:color="auto" w:fill="auto"/>
            <w:vAlign w:val="center"/>
          </w:tcPr>
          <w:p w14:paraId="0045DF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数据锁定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63D188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数据冻结、锁定是否按期完成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57E862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QC-4</w:t>
            </w:r>
          </w:p>
        </w:tc>
      </w:tr>
      <w:tr w14:paraId="353CE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38" w:type="dxa"/>
            <w:shd w:val="clear" w:color="auto" w:fill="auto"/>
            <w:vAlign w:val="center"/>
          </w:tcPr>
          <w:p w14:paraId="7CC756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统计复现性</w:t>
            </w:r>
          </w:p>
        </w:tc>
        <w:tc>
          <w:tcPr>
            <w:tcW w:w="4694" w:type="dxa"/>
            <w:shd w:val="clear" w:color="auto" w:fill="auto"/>
            <w:vAlign w:val="center"/>
          </w:tcPr>
          <w:p w14:paraId="3EDC3D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统计结果一致性</w:t>
            </w:r>
          </w:p>
        </w:tc>
        <w:tc>
          <w:tcPr>
            <w:tcW w:w="1461" w:type="dxa"/>
            <w:shd w:val="clear" w:color="auto" w:fill="auto"/>
            <w:vAlign w:val="center"/>
          </w:tcPr>
          <w:p w14:paraId="3CE671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QC-5</w:t>
            </w:r>
          </w:p>
        </w:tc>
      </w:tr>
    </w:tbl>
    <w:p w14:paraId="3D07DA5C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评分原则：</w:t>
      </w:r>
    </w:p>
    <w:p w14:paraId="3384F99E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达标：100%</w:t>
      </w:r>
    </w:p>
    <w:p w14:paraId="1C228215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延期 ≤ 2 周：80%</w:t>
      </w:r>
    </w:p>
    <w:p w14:paraId="1E4494A3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延期 &gt; 2 周：50%</w:t>
      </w:r>
    </w:p>
    <w:p w14:paraId="0163573B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未完成：0%</w:t>
      </w:r>
    </w:p>
    <w:p w14:paraId="6650C3C9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二、数据绩效（Data KPI）—占比 30%</w:t>
      </w:r>
    </w:p>
    <w:p w14:paraId="265D4768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强调数据的真实、规范、可复现。</w:t>
      </w:r>
    </w:p>
    <w:tbl>
      <w:tblPr>
        <w:tblStyle w:val="33"/>
        <w:tblW w:w="8413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82"/>
        <w:gridCol w:w="4631"/>
      </w:tblGrid>
      <w:tr w14:paraId="0149B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737" w:type="dxa"/>
            <w:shd w:val="clear" w:color="auto" w:fill="auto"/>
            <w:vAlign w:val="center"/>
          </w:tcPr>
          <w:p w14:paraId="34612B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指标</w:t>
            </w:r>
          </w:p>
        </w:tc>
        <w:tc>
          <w:tcPr>
            <w:tcW w:w="4586" w:type="dxa"/>
            <w:shd w:val="clear" w:color="auto" w:fill="auto"/>
            <w:vAlign w:val="center"/>
          </w:tcPr>
          <w:p w14:paraId="26B52A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评价内容</w:t>
            </w:r>
          </w:p>
        </w:tc>
      </w:tr>
      <w:tr w14:paraId="5559F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737" w:type="dxa"/>
            <w:shd w:val="clear" w:color="auto" w:fill="auto"/>
            <w:vAlign w:val="center"/>
          </w:tcPr>
          <w:p w14:paraId="3D97AD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数据完整性（Completeness）</w:t>
            </w:r>
          </w:p>
        </w:tc>
        <w:tc>
          <w:tcPr>
            <w:tcW w:w="4586" w:type="dxa"/>
            <w:shd w:val="clear" w:color="auto" w:fill="auto"/>
            <w:vAlign w:val="center"/>
          </w:tcPr>
          <w:p w14:paraId="2CF7A3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缺失值比例、字段填写完整度</w:t>
            </w:r>
          </w:p>
        </w:tc>
      </w:tr>
      <w:tr w14:paraId="1D601A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737" w:type="dxa"/>
            <w:shd w:val="clear" w:color="auto" w:fill="auto"/>
            <w:vAlign w:val="center"/>
          </w:tcPr>
          <w:p w14:paraId="4F26BB9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数据一致性（Consistency）</w:t>
            </w:r>
          </w:p>
        </w:tc>
        <w:tc>
          <w:tcPr>
            <w:tcW w:w="4586" w:type="dxa"/>
            <w:shd w:val="clear" w:color="auto" w:fill="auto"/>
            <w:vAlign w:val="center"/>
          </w:tcPr>
          <w:p w14:paraId="7AE026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逻辑校验通过率</w:t>
            </w:r>
          </w:p>
        </w:tc>
      </w:tr>
      <w:tr w14:paraId="16C0D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737" w:type="dxa"/>
            <w:shd w:val="clear" w:color="auto" w:fill="auto"/>
            <w:vAlign w:val="center"/>
          </w:tcPr>
          <w:p w14:paraId="53EDFF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数据规范化</w:t>
            </w:r>
          </w:p>
        </w:tc>
        <w:tc>
          <w:tcPr>
            <w:tcW w:w="4586" w:type="dxa"/>
            <w:shd w:val="clear" w:color="auto" w:fill="auto"/>
            <w:vAlign w:val="center"/>
          </w:tcPr>
          <w:p w14:paraId="0255AD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数据字典匹配率、代码本一致性</w:t>
            </w:r>
          </w:p>
        </w:tc>
      </w:tr>
      <w:tr w14:paraId="63437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737" w:type="dxa"/>
            <w:shd w:val="clear" w:color="auto" w:fill="auto"/>
            <w:vAlign w:val="center"/>
          </w:tcPr>
          <w:p w14:paraId="3C4ED1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冻结/锁定质量</w:t>
            </w:r>
          </w:p>
        </w:tc>
        <w:tc>
          <w:tcPr>
            <w:tcW w:w="4586" w:type="dxa"/>
            <w:shd w:val="clear" w:color="auto" w:fill="auto"/>
            <w:vAlign w:val="center"/>
          </w:tcPr>
          <w:p w14:paraId="3F9D0B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是否产生修订、审计追踪完整性</w:t>
            </w:r>
          </w:p>
        </w:tc>
      </w:tr>
      <w:tr w14:paraId="02282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737" w:type="dxa"/>
            <w:shd w:val="clear" w:color="auto" w:fill="auto"/>
            <w:vAlign w:val="center"/>
          </w:tcPr>
          <w:p w14:paraId="4C1187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复现性</w:t>
            </w:r>
          </w:p>
        </w:tc>
        <w:tc>
          <w:tcPr>
            <w:tcW w:w="4586" w:type="dxa"/>
            <w:shd w:val="clear" w:color="auto" w:fill="auto"/>
            <w:vAlign w:val="center"/>
          </w:tcPr>
          <w:p w14:paraId="53F0F4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统计代码可复现性、结果重算一致性</w:t>
            </w:r>
          </w:p>
        </w:tc>
      </w:tr>
    </w:tbl>
    <w:p w14:paraId="275E70A4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评价方法：QC 报告 + 第三方统计审核。</w:t>
      </w:r>
    </w:p>
    <w:p w14:paraId="3DAE3BC8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三、成果绩效（Output KPI）—占比 30%</w:t>
      </w:r>
    </w:p>
    <w:p w14:paraId="288C4667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对应 SRWS 的最终成果包。</w:t>
      </w:r>
    </w:p>
    <w:tbl>
      <w:tblPr>
        <w:tblStyle w:val="33"/>
        <w:tblW w:w="8413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90"/>
        <w:gridCol w:w="6423"/>
      </w:tblGrid>
      <w:tr w14:paraId="4FDF7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6823D0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指标类型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6EA4B4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内容与评分逻辑</w:t>
            </w:r>
          </w:p>
        </w:tc>
      </w:tr>
      <w:tr w14:paraId="78CA3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517381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论文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3B756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发表/录用/投稿状态；目标期刊匹配度</w:t>
            </w:r>
          </w:p>
        </w:tc>
      </w:tr>
      <w:tr w14:paraId="7249E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5C3E56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专利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79E1C9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授权、实审、申请</w:t>
            </w:r>
          </w:p>
        </w:tc>
      </w:tr>
      <w:tr w14:paraId="700CD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02CE9E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工具包贡献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5E8487E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模板/SOP/图表形成的新增贡献</w:t>
            </w:r>
          </w:p>
        </w:tc>
      </w:tr>
      <w:tr w14:paraId="1D1008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4C3AA4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推广应用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B1F51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科室内推广、院级推广、医师协会推广</w:t>
            </w:r>
          </w:p>
        </w:tc>
      </w:tr>
      <w:tr w14:paraId="2F3A2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45" w:type="dxa"/>
            <w:shd w:val="clear" w:color="auto" w:fill="auto"/>
            <w:vAlign w:val="center"/>
          </w:tcPr>
          <w:p w14:paraId="70C1E1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科研影响力</w:t>
            </w:r>
          </w:p>
        </w:tc>
        <w:tc>
          <w:tcPr>
            <w:tcW w:w="6378" w:type="dxa"/>
            <w:shd w:val="clear" w:color="auto" w:fill="auto"/>
            <w:vAlign w:val="center"/>
          </w:tcPr>
          <w:p w14:paraId="48FEEC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汇报、培训、引用、被纳入体系标准</w:t>
            </w:r>
          </w:p>
        </w:tc>
      </w:tr>
    </w:tbl>
    <w:p w14:paraId="0033BE47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成果绩效的评价遵循“两级确认”：</w:t>
      </w:r>
    </w:p>
    <w:p w14:paraId="3626AF97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PI 自评 → SRWS 委员会复核。</w:t>
      </w:r>
    </w:p>
    <w:p w14:paraId="7C46A908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第二节 质量评价体系（QES：Quality Evaluation System）</w:t>
      </w:r>
    </w:p>
    <w:p w14:paraId="30BA377E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的质量评价同步围绕六大 QC 节点开展。</w:t>
      </w:r>
    </w:p>
    <w:p w14:paraId="5185B648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一、六级 QC 节点评价指标</w:t>
      </w:r>
    </w:p>
    <w:p w14:paraId="04FF18A1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QC-1：文献与证据质量</w:t>
      </w:r>
    </w:p>
    <w:p w14:paraId="7757F2E6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检索重复性</w:t>
      </w:r>
    </w:p>
    <w:p w14:paraId="31CF3FC4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PRISMA 完整度</w:t>
      </w:r>
    </w:p>
    <w:p w14:paraId="3E011620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证据矩阵准确性</w:t>
      </w:r>
    </w:p>
    <w:p w14:paraId="64C43ED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QC-2：Protocol–SAP 一致性质量</w:t>
      </w:r>
    </w:p>
    <w:p w14:paraId="11BE4589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终点与统计模型一致性</w:t>
      </w:r>
    </w:p>
    <w:p w14:paraId="03CC6A15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风险/偏倚控制有效性</w:t>
      </w:r>
    </w:p>
    <w:p w14:paraId="06E797BD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样本量估算合理性</w:t>
      </w:r>
    </w:p>
    <w:p w14:paraId="29924065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QC-3：CRF 与数据字典质量</w:t>
      </w:r>
    </w:p>
    <w:p w14:paraId="39EBFF1F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字段完整度</w:t>
      </w:r>
    </w:p>
    <w:p w14:paraId="1AD0C8B4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逻辑校验通过率</w:t>
      </w:r>
    </w:p>
    <w:p w14:paraId="2CD2015A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试填质量</w:t>
      </w:r>
    </w:p>
    <w:p w14:paraId="5E51A9EF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QC-4：数据锁定质量</w:t>
      </w:r>
    </w:p>
    <w:p w14:paraId="31E7C171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缺失值处理规范</w:t>
      </w:r>
    </w:p>
    <w:p w14:paraId="2D381B8F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Freeze/Lock 完整性</w:t>
      </w:r>
    </w:p>
    <w:p w14:paraId="5F6FDCA5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Audit Trail 可追溯性</w:t>
      </w:r>
    </w:p>
    <w:p w14:paraId="70B6967B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QC-5：统计与复现性质量</w:t>
      </w:r>
    </w:p>
    <w:p w14:paraId="3C0223A3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统计脚本规范</w:t>
      </w:r>
    </w:p>
    <w:p w14:paraId="5478AE6D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图表与结论一致性</w:t>
      </w:r>
    </w:p>
    <w:p w14:paraId="1F35B37A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复现性检查通过率</w:t>
      </w:r>
    </w:p>
    <w:p w14:paraId="5D29C9F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QC-6：论文一致性质量</w:t>
      </w:r>
    </w:p>
    <w:p w14:paraId="60C807DE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Protocol–Results–Manuscript 逻辑一致</w:t>
      </w:r>
    </w:p>
    <w:p w14:paraId="0B030514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方法学表达标准化</w:t>
      </w:r>
    </w:p>
    <w:p w14:paraId="1E5B0FC2">
      <w:pPr>
        <w:pStyle w:val="30"/>
        <w:keepNext w:val="0"/>
        <w:keepLines w:val="0"/>
        <w:widowControl/>
        <w:numPr>
          <w:ilvl w:val="0"/>
          <w:numId w:val="3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引文准确性</w:t>
      </w:r>
    </w:p>
    <w:p w14:paraId="1EAF9C49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Style w:val="134"/>
          <w:rFonts w:hint="eastAsia" w:ascii="仿宋" w:hAnsi="仿宋" w:eastAsia="仿宋" w:cs="仿宋"/>
          <w:sz w:val="24"/>
          <w:szCs w:val="24"/>
        </w:rPr>
        <w:t>每个 QC 节点按 A/B/C/D 四级评定。</w:t>
      </w:r>
    </w:p>
    <w:p w14:paraId="1A32C2CA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第三节 角色绩效体系（RPI：Role Performance Index）</w:t>
      </w:r>
    </w:p>
    <w:p w14:paraId="7369C6CC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根据 SRWS 角色特性，对不同角色设置差异化绩效指标。</w:t>
      </w:r>
    </w:p>
    <w:p w14:paraId="25E0B48E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一、PI 绩效指标</w:t>
      </w:r>
    </w:p>
    <w:p w14:paraId="553E76F1">
      <w:pPr>
        <w:pStyle w:val="30"/>
        <w:keepNext w:val="0"/>
        <w:keepLines w:val="0"/>
        <w:widowControl/>
        <w:numPr>
          <w:ilvl w:val="0"/>
          <w:numId w:val="3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课题进展控制能力（T0–T11）</w:t>
      </w:r>
    </w:p>
    <w:p w14:paraId="013ACFE2">
      <w:pPr>
        <w:pStyle w:val="30"/>
        <w:keepNext w:val="0"/>
        <w:keepLines w:val="0"/>
        <w:widowControl/>
        <w:numPr>
          <w:ilvl w:val="0"/>
          <w:numId w:val="3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方案质量（Protocol、SAP）</w:t>
      </w:r>
    </w:p>
    <w:p w14:paraId="6397D384">
      <w:pPr>
        <w:pStyle w:val="30"/>
        <w:keepNext w:val="0"/>
        <w:keepLines w:val="0"/>
        <w:widowControl/>
        <w:numPr>
          <w:ilvl w:val="0"/>
          <w:numId w:val="3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数据质量与团队管理</w:t>
      </w:r>
    </w:p>
    <w:p w14:paraId="13FFE02F">
      <w:pPr>
        <w:pStyle w:val="30"/>
        <w:keepNext w:val="0"/>
        <w:keepLines w:val="0"/>
        <w:widowControl/>
        <w:numPr>
          <w:ilvl w:val="0"/>
          <w:numId w:val="3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统计与写作指导能力</w:t>
      </w:r>
    </w:p>
    <w:p w14:paraId="1855C13B">
      <w:pPr>
        <w:pStyle w:val="30"/>
        <w:keepNext w:val="0"/>
        <w:keepLines w:val="0"/>
        <w:widowControl/>
        <w:numPr>
          <w:ilvl w:val="0"/>
          <w:numId w:val="3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成果产出（论文、专利、成果推广）</w:t>
      </w:r>
    </w:p>
    <w:p w14:paraId="28FD2DFC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加分项：参与体系建设、工具包创新。</w:t>
      </w:r>
    </w:p>
    <w:p w14:paraId="008E30BD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二、科研助理（RA）绩效指标</w:t>
      </w:r>
    </w:p>
    <w:p w14:paraId="6DAD9C3B">
      <w:pPr>
        <w:pStyle w:val="30"/>
        <w:keepNext w:val="0"/>
        <w:keepLines w:val="0"/>
        <w:widowControl/>
        <w:numPr>
          <w:ilvl w:val="0"/>
          <w:numId w:val="3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文献检索质量</w:t>
      </w:r>
    </w:p>
    <w:p w14:paraId="41D55932">
      <w:pPr>
        <w:pStyle w:val="30"/>
        <w:keepNext w:val="0"/>
        <w:keepLines w:val="0"/>
        <w:widowControl/>
        <w:numPr>
          <w:ilvl w:val="0"/>
          <w:numId w:val="3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CRF/数据字典完成质量</w:t>
      </w:r>
    </w:p>
    <w:p w14:paraId="23BEF627">
      <w:pPr>
        <w:pStyle w:val="30"/>
        <w:keepNext w:val="0"/>
        <w:keepLines w:val="0"/>
        <w:widowControl/>
        <w:numPr>
          <w:ilvl w:val="0"/>
          <w:numId w:val="3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 执行质量</w:t>
      </w:r>
    </w:p>
    <w:p w14:paraId="28275C07">
      <w:pPr>
        <w:pStyle w:val="30"/>
        <w:keepNext w:val="0"/>
        <w:keepLines w:val="0"/>
        <w:widowControl/>
        <w:numPr>
          <w:ilvl w:val="0"/>
          <w:numId w:val="3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数据管理规范性</w:t>
      </w:r>
    </w:p>
    <w:p w14:paraId="0BDD2E50">
      <w:pPr>
        <w:pStyle w:val="30"/>
        <w:keepNext w:val="0"/>
        <w:keepLines w:val="0"/>
        <w:widowControl/>
        <w:numPr>
          <w:ilvl w:val="0"/>
          <w:numId w:val="3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操作准确性（统计脚本、归档、报告）</w:t>
      </w:r>
    </w:p>
    <w:p w14:paraId="74CA5C88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RA 是 SRWS 流程执行“核心岗位”，考核更强调规范性。</w:t>
      </w:r>
    </w:p>
    <w:p w14:paraId="5E27C505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三、青年主治与科研骨干</w:t>
      </w:r>
    </w:p>
    <w:p w14:paraId="64CC500C">
      <w:pPr>
        <w:pStyle w:val="30"/>
        <w:keepNext w:val="0"/>
        <w:keepLines w:val="0"/>
        <w:widowControl/>
        <w:numPr>
          <w:ilvl w:val="0"/>
          <w:numId w:val="3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执行力与独立完成课题环节的能力</w:t>
      </w:r>
    </w:p>
    <w:p w14:paraId="6DA081AA">
      <w:pPr>
        <w:pStyle w:val="30"/>
        <w:keepNext w:val="0"/>
        <w:keepLines w:val="0"/>
        <w:widowControl/>
        <w:numPr>
          <w:ilvl w:val="0"/>
          <w:numId w:val="3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统计与写作质量</w:t>
      </w:r>
    </w:p>
    <w:p w14:paraId="4EED85B7">
      <w:pPr>
        <w:pStyle w:val="30"/>
        <w:keepNext w:val="0"/>
        <w:keepLines w:val="0"/>
        <w:widowControl/>
        <w:numPr>
          <w:ilvl w:val="0"/>
          <w:numId w:val="3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工具包使用与创新</w:t>
      </w:r>
    </w:p>
    <w:p w14:paraId="03FC9F7F">
      <w:pPr>
        <w:pStyle w:val="30"/>
        <w:keepNext w:val="0"/>
        <w:keepLines w:val="0"/>
        <w:widowControl/>
        <w:numPr>
          <w:ilvl w:val="0"/>
          <w:numId w:val="3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研究生指导能力</w:t>
      </w:r>
    </w:p>
    <w:p w14:paraId="63ADC05B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四、住培医生与研究生</w:t>
      </w:r>
    </w:p>
    <w:p w14:paraId="2E7FBA95">
      <w:pPr>
        <w:pStyle w:val="30"/>
        <w:keepNext w:val="0"/>
        <w:keepLines w:val="0"/>
        <w:widowControl/>
        <w:numPr>
          <w:ilvl w:val="0"/>
          <w:numId w:val="35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文献检索</w:t>
      </w:r>
    </w:p>
    <w:p w14:paraId="726D472D">
      <w:pPr>
        <w:pStyle w:val="30"/>
        <w:keepNext w:val="0"/>
        <w:keepLines w:val="0"/>
        <w:widowControl/>
        <w:numPr>
          <w:ilvl w:val="0"/>
          <w:numId w:val="35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数据录入规范化</w:t>
      </w:r>
    </w:p>
    <w:p w14:paraId="6F32E151">
      <w:pPr>
        <w:pStyle w:val="30"/>
        <w:keepNext w:val="0"/>
        <w:keepLines w:val="0"/>
        <w:widowControl/>
        <w:numPr>
          <w:ilvl w:val="0"/>
          <w:numId w:val="35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基础统计操作</w:t>
      </w:r>
    </w:p>
    <w:p w14:paraId="2710AC47">
      <w:pPr>
        <w:pStyle w:val="30"/>
        <w:keepNext w:val="0"/>
        <w:keepLines w:val="0"/>
        <w:widowControl/>
        <w:numPr>
          <w:ilvl w:val="0"/>
          <w:numId w:val="35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完成 SRWS 基础培训</w:t>
      </w:r>
    </w:p>
    <w:p w14:paraId="30361C3F">
      <w:pPr>
        <w:pStyle w:val="30"/>
        <w:keepNext w:val="0"/>
        <w:keepLines w:val="0"/>
        <w:widowControl/>
        <w:numPr>
          <w:ilvl w:val="0"/>
          <w:numId w:val="35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小型成果产出（综述或病例系列）</w:t>
      </w:r>
    </w:p>
    <w:p w14:paraId="467C500A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第四节 课题评估体系（PMS：Project Management Score）</w:t>
      </w:r>
    </w:p>
    <w:p w14:paraId="694F87AB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围绕每项课题建立 100 分制评估体系：</w:t>
      </w:r>
    </w:p>
    <w:tbl>
      <w:tblPr>
        <w:tblStyle w:val="33"/>
        <w:tblW w:w="8413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822"/>
        <w:gridCol w:w="1591"/>
      </w:tblGrid>
      <w:tr w14:paraId="48EF8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6777" w:type="dxa"/>
            <w:shd w:val="clear" w:color="auto" w:fill="auto"/>
            <w:vAlign w:val="center"/>
          </w:tcPr>
          <w:p w14:paraId="15F79C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评分项目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5A42A0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权重</w:t>
            </w:r>
          </w:p>
        </w:tc>
      </w:tr>
      <w:tr w14:paraId="09756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777" w:type="dxa"/>
            <w:shd w:val="clear" w:color="auto" w:fill="auto"/>
            <w:vAlign w:val="center"/>
          </w:tcPr>
          <w:p w14:paraId="76D114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A. 过程执行度（T0–T11）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77CC6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40 分</w:t>
            </w:r>
          </w:p>
        </w:tc>
      </w:tr>
      <w:tr w14:paraId="2AD08C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777" w:type="dxa"/>
            <w:shd w:val="clear" w:color="auto" w:fill="auto"/>
            <w:vAlign w:val="center"/>
          </w:tcPr>
          <w:p w14:paraId="22016C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B. 数据质量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6EF312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20 分</w:t>
            </w:r>
          </w:p>
        </w:tc>
      </w:tr>
      <w:tr w14:paraId="79649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777" w:type="dxa"/>
            <w:shd w:val="clear" w:color="auto" w:fill="auto"/>
            <w:vAlign w:val="center"/>
          </w:tcPr>
          <w:p w14:paraId="601EBB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C. 统计分析与复现性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1C982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 分</w:t>
            </w:r>
          </w:p>
        </w:tc>
      </w:tr>
      <w:tr w14:paraId="4009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777" w:type="dxa"/>
            <w:shd w:val="clear" w:color="auto" w:fill="auto"/>
            <w:vAlign w:val="center"/>
          </w:tcPr>
          <w:p w14:paraId="09C416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D. 文稿质量（MSK、投稿）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4484EF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15 分</w:t>
            </w:r>
          </w:p>
        </w:tc>
      </w:tr>
      <w:tr w14:paraId="5477D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777" w:type="dxa"/>
            <w:shd w:val="clear" w:color="auto" w:fill="auto"/>
            <w:vAlign w:val="center"/>
          </w:tcPr>
          <w:p w14:paraId="7991C7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E. 成果与创新</w:t>
            </w:r>
          </w:p>
        </w:tc>
        <w:tc>
          <w:tcPr>
            <w:tcW w:w="1546" w:type="dxa"/>
            <w:shd w:val="clear" w:color="auto" w:fill="auto"/>
            <w:vAlign w:val="center"/>
          </w:tcPr>
          <w:p w14:paraId="0B5F3C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10 分</w:t>
            </w:r>
          </w:p>
        </w:tc>
      </w:tr>
    </w:tbl>
    <w:p w14:paraId="399F5EC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课题评分结果分为：</w:t>
      </w:r>
      <w:r>
        <w:rPr>
          <w:rFonts w:hint="eastAsia" w:ascii="仿宋" w:hAnsi="仿宋" w:eastAsia="仿宋" w:cs="仿宋"/>
          <w:sz w:val="24"/>
          <w:szCs w:val="24"/>
        </w:rPr>
        <w:br w:type="textWrapping"/>
      </w:r>
      <w:r>
        <w:rPr>
          <w:rStyle w:val="134"/>
          <w:rFonts w:hint="eastAsia" w:ascii="仿宋" w:hAnsi="仿宋" w:eastAsia="仿宋" w:cs="仿宋"/>
          <w:sz w:val="24"/>
          <w:szCs w:val="24"/>
        </w:rPr>
        <w:t>优秀（≥85）、良好（70–84）、合格（60–69）、不合格（&lt;60）</w:t>
      </w:r>
      <w:r>
        <w:rPr>
          <w:rFonts w:hint="eastAsia" w:ascii="仿宋" w:hAnsi="仿宋" w:eastAsia="仿宋" w:cs="仿宋"/>
          <w:sz w:val="24"/>
          <w:szCs w:val="24"/>
        </w:rPr>
        <w:t>。</w:t>
      </w:r>
    </w:p>
    <w:p w14:paraId="60CEFCB9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不合格课题须提交整改报告，并接受 SRWS 委员会审核。</w:t>
      </w:r>
    </w:p>
    <w:p w14:paraId="1968910C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第五节 SRWS 体系运行评价（System-level Evaluation）</w:t>
      </w:r>
    </w:p>
    <w:p w14:paraId="6DCBBA2E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作为“体系建设项目”，必须对 SRWS 本身进行评估。</w:t>
      </w:r>
    </w:p>
    <w:p w14:paraId="3E8F7359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一、体系运行效率</w:t>
      </w:r>
    </w:p>
    <w:p w14:paraId="151FD5C3">
      <w:pPr>
        <w:pStyle w:val="30"/>
        <w:keepNext w:val="0"/>
        <w:keepLines w:val="0"/>
        <w:widowControl/>
        <w:numPr>
          <w:ilvl w:val="0"/>
          <w:numId w:val="36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工具包使用率</w:t>
      </w:r>
    </w:p>
    <w:p w14:paraId="5FAAAF65">
      <w:pPr>
        <w:pStyle w:val="30"/>
        <w:keepNext w:val="0"/>
        <w:keepLines w:val="0"/>
        <w:widowControl/>
        <w:numPr>
          <w:ilvl w:val="0"/>
          <w:numId w:val="36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T0–T11 达成率</w:t>
      </w:r>
    </w:p>
    <w:p w14:paraId="4D4E2004">
      <w:pPr>
        <w:pStyle w:val="30"/>
        <w:keepNext w:val="0"/>
        <w:keepLines w:val="0"/>
        <w:widowControl/>
        <w:numPr>
          <w:ilvl w:val="0"/>
          <w:numId w:val="36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 节点通过率</w:t>
      </w:r>
    </w:p>
    <w:p w14:paraId="6B43355D">
      <w:pPr>
        <w:pStyle w:val="30"/>
        <w:keepNext w:val="0"/>
        <w:keepLines w:val="0"/>
        <w:widowControl/>
        <w:numPr>
          <w:ilvl w:val="0"/>
          <w:numId w:val="36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跨课题一致性</w:t>
      </w:r>
    </w:p>
    <w:p w14:paraId="626B4348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二、体系运行质量</w:t>
      </w:r>
    </w:p>
    <w:p w14:paraId="3C960ED4">
      <w:pPr>
        <w:pStyle w:val="30"/>
        <w:keepNext w:val="0"/>
        <w:keepLines w:val="0"/>
        <w:widowControl/>
        <w:numPr>
          <w:ilvl w:val="0"/>
          <w:numId w:val="37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Protocol–Manuscript 一致性</w:t>
      </w:r>
    </w:p>
    <w:p w14:paraId="10009CA2">
      <w:pPr>
        <w:pStyle w:val="30"/>
        <w:keepNext w:val="0"/>
        <w:keepLines w:val="0"/>
        <w:widowControl/>
        <w:numPr>
          <w:ilvl w:val="0"/>
          <w:numId w:val="37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数据质量提升幅度</w:t>
      </w:r>
    </w:p>
    <w:p w14:paraId="14043CEA">
      <w:pPr>
        <w:pStyle w:val="30"/>
        <w:keepNext w:val="0"/>
        <w:keepLines w:val="0"/>
        <w:widowControl/>
        <w:numPr>
          <w:ilvl w:val="0"/>
          <w:numId w:val="37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统计复现性达标率</w:t>
      </w:r>
    </w:p>
    <w:p w14:paraId="5B174610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三、体系输出能力</w:t>
      </w:r>
    </w:p>
    <w:p w14:paraId="1B4C6FF9">
      <w:pPr>
        <w:pStyle w:val="30"/>
        <w:keepNext w:val="0"/>
        <w:keepLines w:val="0"/>
        <w:widowControl/>
        <w:numPr>
          <w:ilvl w:val="0"/>
          <w:numId w:val="3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论文数量与等级</w:t>
      </w:r>
    </w:p>
    <w:p w14:paraId="3324CFF2">
      <w:pPr>
        <w:pStyle w:val="30"/>
        <w:keepNext w:val="0"/>
        <w:keepLines w:val="0"/>
        <w:widowControl/>
        <w:numPr>
          <w:ilvl w:val="0"/>
          <w:numId w:val="3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专利与成果转化</w:t>
      </w:r>
    </w:p>
    <w:p w14:paraId="4D461AE9">
      <w:pPr>
        <w:pStyle w:val="30"/>
        <w:keepNext w:val="0"/>
        <w:keepLines w:val="0"/>
        <w:widowControl/>
        <w:numPr>
          <w:ilvl w:val="0"/>
          <w:numId w:val="3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科室整体科研能力提升趋势</w:t>
      </w:r>
    </w:p>
    <w:p w14:paraId="0F461580">
      <w:pPr>
        <w:pStyle w:val="30"/>
        <w:keepNext w:val="0"/>
        <w:keepLines w:val="0"/>
        <w:widowControl/>
        <w:numPr>
          <w:ilvl w:val="0"/>
          <w:numId w:val="3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对外推广情况</w:t>
      </w:r>
    </w:p>
    <w:p w14:paraId="54310E4E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第六节 持续改进机制（PDCA）</w:t>
      </w:r>
    </w:p>
    <w:p w14:paraId="5427C830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绩效体系遵循 PDCA 循环：</w:t>
      </w:r>
    </w:p>
    <w:p w14:paraId="7DEE6CFB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P（Plan）制定年度绩效指标与能力目标</w:t>
      </w:r>
    </w:p>
    <w:p w14:paraId="7C5FA698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基于上一年度科研产出与质量评估。</w:t>
      </w:r>
    </w:p>
    <w:p w14:paraId="451E8D73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D（Do）执行 SRWS 全流程与培训计划</w:t>
      </w:r>
    </w:p>
    <w:p w14:paraId="389E1FCE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C（Check）年度科研绩效与质量评估</w:t>
      </w:r>
    </w:p>
    <w:p w14:paraId="4D87995F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包括 QC、体系评估与成果评估。</w:t>
      </w:r>
    </w:p>
    <w:p w14:paraId="23D9338F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A（Act）发布年度改进计划</w:t>
      </w:r>
    </w:p>
    <w:p w14:paraId="08AD217F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内容包括：</w:t>
      </w:r>
    </w:p>
    <w:p w14:paraId="5BDD8EAF">
      <w:pPr>
        <w:pStyle w:val="30"/>
        <w:keepNext w:val="0"/>
        <w:keepLines w:val="0"/>
        <w:widowControl/>
        <w:numPr>
          <w:ilvl w:val="0"/>
          <w:numId w:val="3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工具包更新</w:t>
      </w:r>
    </w:p>
    <w:p w14:paraId="2DEFB7D5">
      <w:pPr>
        <w:pStyle w:val="30"/>
        <w:keepNext w:val="0"/>
        <w:keepLines w:val="0"/>
        <w:widowControl/>
        <w:numPr>
          <w:ilvl w:val="0"/>
          <w:numId w:val="3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培训课程优化</w:t>
      </w:r>
    </w:p>
    <w:p w14:paraId="3DE5F475">
      <w:pPr>
        <w:pStyle w:val="30"/>
        <w:keepNext w:val="0"/>
        <w:keepLines w:val="0"/>
        <w:widowControl/>
        <w:numPr>
          <w:ilvl w:val="0"/>
          <w:numId w:val="3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课题流程调整</w:t>
      </w:r>
    </w:p>
    <w:p w14:paraId="1330542B">
      <w:pPr>
        <w:pStyle w:val="30"/>
        <w:keepNext w:val="0"/>
        <w:keepLines w:val="0"/>
        <w:widowControl/>
        <w:numPr>
          <w:ilvl w:val="0"/>
          <w:numId w:val="3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数据质量改进</w:t>
      </w:r>
    </w:p>
    <w:p w14:paraId="6B5F2043">
      <w:pPr>
        <w:pStyle w:val="30"/>
        <w:keepNext w:val="0"/>
        <w:keepLines w:val="0"/>
        <w:widowControl/>
        <w:numPr>
          <w:ilvl w:val="0"/>
          <w:numId w:val="3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统计规范升级</w:t>
      </w:r>
    </w:p>
    <w:p w14:paraId="2B33004D">
      <w:pPr>
        <w:pStyle w:val="30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最终形成《SRWS 年度绩效与质量报告》。</w:t>
      </w:r>
    </w:p>
    <w:p w14:paraId="37C6E27D">
      <w:pPr>
        <w:pStyle w:val="4"/>
        <w:bidi w:val="0"/>
      </w:pPr>
      <w:r>
        <w:t>第八章 风险管理与质量保障体系</w:t>
      </w:r>
    </w:p>
    <w:p w14:paraId="2DA4987F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本章旨在建立 SRWS 的系统性风险管理与质量保障体系，以科研方法学为底座，以 SRWS 的八大模块、QC 节点和流程规范为工具，实现科研活动“风险可识别、过程可控制、质量可追溯、结果可信赖”。</w:t>
      </w:r>
    </w:p>
    <w:p w14:paraId="105A0B21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 xml:space="preserve">体系遵循 </w:t>
      </w:r>
      <w:r>
        <w:rPr>
          <w:rStyle w:val="134"/>
          <w:rFonts w:hint="eastAsia" w:ascii="仿宋" w:hAnsi="仿宋" w:eastAsia="仿宋" w:cs="仿宋"/>
          <w:sz w:val="24"/>
          <w:szCs w:val="24"/>
        </w:rPr>
        <w:t>ISO 31000 风险管理框架、ICH-GCP 原则、医院科研管理规范</w:t>
      </w:r>
      <w:r>
        <w:rPr>
          <w:rFonts w:hint="eastAsia" w:ascii="仿宋" w:hAnsi="仿宋" w:eastAsia="仿宋" w:cs="仿宋"/>
          <w:sz w:val="24"/>
          <w:szCs w:val="24"/>
        </w:rPr>
        <w:t>，结合临床研究与医工交叉研究的特点构建。</w:t>
      </w:r>
    </w:p>
    <w:p w14:paraId="7BED3484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第一节 SRWS 风险管理总则（General Principles）</w:t>
      </w:r>
    </w:p>
    <w:p w14:paraId="6FCF24FD">
      <w:pPr>
        <w:pStyle w:val="30"/>
        <w:keepNext w:val="0"/>
        <w:keepLines w:val="0"/>
        <w:widowControl/>
        <w:numPr>
          <w:ilvl w:val="0"/>
          <w:numId w:val="4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全流程覆盖原则</w:t>
      </w:r>
      <w:r>
        <w:rPr>
          <w:rFonts w:hint="eastAsia" w:ascii="仿宋" w:hAnsi="仿宋" w:eastAsia="仿宋" w:cs="仿宋"/>
          <w:sz w:val="24"/>
          <w:szCs w:val="24"/>
        </w:rPr>
        <w:t>：风险管理贯穿 T0–T11 全生命周期。</w:t>
      </w:r>
    </w:p>
    <w:p w14:paraId="28474B12">
      <w:pPr>
        <w:pStyle w:val="30"/>
        <w:keepNext w:val="0"/>
        <w:keepLines w:val="0"/>
        <w:widowControl/>
        <w:numPr>
          <w:ilvl w:val="0"/>
          <w:numId w:val="4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前置管理原则</w:t>
      </w:r>
      <w:r>
        <w:rPr>
          <w:rFonts w:hint="eastAsia" w:ascii="仿宋" w:hAnsi="仿宋" w:eastAsia="仿宋" w:cs="仿宋"/>
          <w:sz w:val="24"/>
          <w:szCs w:val="24"/>
        </w:rPr>
        <w:t>：在研究启动前进行系统风险识别与预防设计。</w:t>
      </w:r>
    </w:p>
    <w:p w14:paraId="5455DEF5">
      <w:pPr>
        <w:pStyle w:val="30"/>
        <w:keepNext w:val="0"/>
        <w:keepLines w:val="0"/>
        <w:widowControl/>
        <w:numPr>
          <w:ilvl w:val="0"/>
          <w:numId w:val="4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矩阵化控制原则</w:t>
      </w:r>
      <w:r>
        <w:rPr>
          <w:rFonts w:hint="eastAsia" w:ascii="仿宋" w:hAnsi="仿宋" w:eastAsia="仿宋" w:cs="仿宋"/>
          <w:sz w:val="24"/>
          <w:szCs w:val="24"/>
        </w:rPr>
        <w:t>：以风险矩阵（概率×影响）进行量化评估。</w:t>
      </w:r>
    </w:p>
    <w:p w14:paraId="7305444A">
      <w:pPr>
        <w:pStyle w:val="30"/>
        <w:keepNext w:val="0"/>
        <w:keepLines w:val="0"/>
        <w:widowControl/>
        <w:numPr>
          <w:ilvl w:val="0"/>
          <w:numId w:val="4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可追溯原则</w:t>
      </w:r>
      <w:r>
        <w:rPr>
          <w:rFonts w:hint="eastAsia" w:ascii="仿宋" w:hAnsi="仿宋" w:eastAsia="仿宋" w:cs="仿宋"/>
          <w:sz w:val="24"/>
          <w:szCs w:val="24"/>
        </w:rPr>
        <w:t>：所有风险处理必须形成审计追踪（Audit Trail）。</w:t>
      </w:r>
    </w:p>
    <w:p w14:paraId="5DFB2C8A">
      <w:pPr>
        <w:pStyle w:val="30"/>
        <w:keepNext w:val="0"/>
        <w:keepLines w:val="0"/>
        <w:widowControl/>
        <w:numPr>
          <w:ilvl w:val="0"/>
          <w:numId w:val="4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责任到位原则</w:t>
      </w:r>
      <w:r>
        <w:rPr>
          <w:rFonts w:hint="eastAsia" w:ascii="仿宋" w:hAnsi="仿宋" w:eastAsia="仿宋" w:cs="仿宋"/>
          <w:sz w:val="24"/>
          <w:szCs w:val="24"/>
        </w:rPr>
        <w:t>：PI、RA、科研办、伦理办等各司其职。</w:t>
      </w:r>
    </w:p>
    <w:p w14:paraId="2A50B5EF">
      <w:pPr>
        <w:pStyle w:val="30"/>
        <w:keepNext w:val="0"/>
        <w:keepLines w:val="0"/>
        <w:widowControl/>
        <w:numPr>
          <w:ilvl w:val="0"/>
          <w:numId w:val="4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持续改进原则</w:t>
      </w:r>
      <w:r>
        <w:rPr>
          <w:rFonts w:hint="eastAsia" w:ascii="仿宋" w:hAnsi="仿宋" w:eastAsia="仿宋" w:cs="仿宋"/>
          <w:sz w:val="24"/>
          <w:szCs w:val="24"/>
        </w:rPr>
        <w:t>：每年进行风险复盘与体系升级。</w:t>
      </w:r>
    </w:p>
    <w:p w14:paraId="0E09D872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第二节 SRWS 风险类型与风险矩阵</w:t>
      </w:r>
    </w:p>
    <w:p w14:paraId="7283E23B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一、五大风险类型（R1–R5）</w:t>
      </w:r>
    </w:p>
    <w:tbl>
      <w:tblPr>
        <w:tblStyle w:val="33"/>
        <w:tblW w:w="8416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21"/>
        <w:gridCol w:w="5795"/>
      </w:tblGrid>
      <w:tr w14:paraId="14A50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tblCellSpacing w:w="15" w:type="dxa"/>
          <w:jc w:val="center"/>
        </w:trPr>
        <w:tc>
          <w:tcPr>
            <w:tcW w:w="2576" w:type="dxa"/>
            <w:shd w:val="clear" w:color="auto" w:fill="auto"/>
            <w:vAlign w:val="center"/>
          </w:tcPr>
          <w:p w14:paraId="693F81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类别</w:t>
            </w:r>
          </w:p>
        </w:tc>
        <w:tc>
          <w:tcPr>
            <w:tcW w:w="5750" w:type="dxa"/>
            <w:shd w:val="clear" w:color="auto" w:fill="auto"/>
            <w:vAlign w:val="center"/>
          </w:tcPr>
          <w:p w14:paraId="3E17A6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风险内容</w:t>
            </w:r>
          </w:p>
        </w:tc>
      </w:tr>
      <w:tr w14:paraId="03A46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76" w:type="dxa"/>
            <w:shd w:val="clear" w:color="auto" w:fill="auto"/>
            <w:vAlign w:val="center"/>
          </w:tcPr>
          <w:p w14:paraId="5C6B3E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13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R1：方案与方法学风险</w:t>
            </w:r>
          </w:p>
        </w:tc>
        <w:tc>
          <w:tcPr>
            <w:tcW w:w="5750" w:type="dxa"/>
            <w:shd w:val="clear" w:color="auto" w:fill="auto"/>
            <w:vAlign w:val="center"/>
          </w:tcPr>
          <w:p w14:paraId="3E7146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研究设计不当、终点不清晰、样本量不足、偏倚控制缺失</w:t>
            </w:r>
          </w:p>
        </w:tc>
      </w:tr>
      <w:tr w14:paraId="37A3F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76" w:type="dxa"/>
            <w:shd w:val="clear" w:color="auto" w:fill="auto"/>
            <w:vAlign w:val="center"/>
          </w:tcPr>
          <w:p w14:paraId="3129AA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13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R2：伦理与合规风险</w:t>
            </w:r>
          </w:p>
        </w:tc>
        <w:tc>
          <w:tcPr>
            <w:tcW w:w="5750" w:type="dxa"/>
            <w:shd w:val="clear" w:color="auto" w:fill="auto"/>
            <w:vAlign w:val="center"/>
          </w:tcPr>
          <w:p w14:paraId="01A76D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ICF缺陷、隐私泄露、设备/AI/医工安全缺失</w:t>
            </w:r>
          </w:p>
        </w:tc>
      </w:tr>
      <w:tr w14:paraId="3F463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76" w:type="dxa"/>
            <w:shd w:val="clear" w:color="auto" w:fill="auto"/>
            <w:vAlign w:val="center"/>
          </w:tcPr>
          <w:p w14:paraId="7F80F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13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R3：数据质量风险</w:t>
            </w:r>
          </w:p>
        </w:tc>
        <w:tc>
          <w:tcPr>
            <w:tcW w:w="5750" w:type="dxa"/>
            <w:shd w:val="clear" w:color="auto" w:fill="auto"/>
            <w:vAlign w:val="center"/>
          </w:tcPr>
          <w:p w14:paraId="76E7B62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缺失值过多、逻辑错误、数据造假、数据不可复现</w:t>
            </w:r>
          </w:p>
        </w:tc>
      </w:tr>
      <w:tr w14:paraId="1AF5F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76" w:type="dxa"/>
            <w:shd w:val="clear" w:color="auto" w:fill="auto"/>
            <w:vAlign w:val="center"/>
          </w:tcPr>
          <w:p w14:paraId="56BC0F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13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R4：执行与团队协作风险</w:t>
            </w:r>
          </w:p>
        </w:tc>
        <w:tc>
          <w:tcPr>
            <w:tcW w:w="5750" w:type="dxa"/>
            <w:shd w:val="clear" w:color="auto" w:fill="auto"/>
            <w:vAlign w:val="center"/>
          </w:tcPr>
          <w:p w14:paraId="3C8E4E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T0–T11 延误、团队沟通不畅、流程跳步</w:t>
            </w:r>
          </w:p>
        </w:tc>
      </w:tr>
      <w:tr w14:paraId="11B94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76" w:type="dxa"/>
            <w:shd w:val="clear" w:color="auto" w:fill="auto"/>
            <w:vAlign w:val="center"/>
          </w:tcPr>
          <w:p w14:paraId="30B914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Style w:val="134"/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R5：成果产出风险</w:t>
            </w:r>
          </w:p>
        </w:tc>
        <w:tc>
          <w:tcPr>
            <w:tcW w:w="5750" w:type="dxa"/>
            <w:shd w:val="clear" w:color="auto" w:fill="auto"/>
            <w:vAlign w:val="center"/>
          </w:tcPr>
          <w:p w14:paraId="5EA771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数据无法支撑结论、论文不符合 IMRaD、专利缺乏新颖性</w:t>
            </w:r>
          </w:p>
        </w:tc>
      </w:tr>
    </w:tbl>
    <w:p w14:paraId="241457E2">
      <w:pPr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</w:p>
    <w:p w14:paraId="25866F30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二、SRWS 风险矩阵（Probability × Impact）</w:t>
      </w:r>
    </w:p>
    <w:tbl>
      <w:tblPr>
        <w:tblStyle w:val="33"/>
        <w:tblW w:w="8413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27"/>
        <w:gridCol w:w="5186"/>
      </w:tblGrid>
      <w:tr w14:paraId="204D0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182" w:type="dxa"/>
            <w:shd w:val="clear" w:color="auto" w:fill="auto"/>
            <w:vAlign w:val="center"/>
          </w:tcPr>
          <w:p w14:paraId="067A11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概率（P）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6F1918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定义</w:t>
            </w:r>
          </w:p>
        </w:tc>
      </w:tr>
      <w:tr w14:paraId="561623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82" w:type="dxa"/>
            <w:shd w:val="clear" w:color="auto" w:fill="auto"/>
            <w:vAlign w:val="center"/>
          </w:tcPr>
          <w:p w14:paraId="491F99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P1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760E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极低（&lt;10%）</w:t>
            </w:r>
          </w:p>
        </w:tc>
      </w:tr>
      <w:tr w14:paraId="074260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82" w:type="dxa"/>
            <w:shd w:val="clear" w:color="auto" w:fill="auto"/>
            <w:vAlign w:val="center"/>
          </w:tcPr>
          <w:p w14:paraId="2B1EE4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P2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6BC32E0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较低（10–30%）</w:t>
            </w:r>
          </w:p>
        </w:tc>
      </w:tr>
      <w:tr w14:paraId="66419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82" w:type="dxa"/>
            <w:shd w:val="clear" w:color="auto" w:fill="auto"/>
            <w:vAlign w:val="center"/>
          </w:tcPr>
          <w:p w14:paraId="1649B6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P3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9F48F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中等（30–60%）</w:t>
            </w:r>
          </w:p>
        </w:tc>
      </w:tr>
      <w:tr w14:paraId="0A22FB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82" w:type="dxa"/>
            <w:shd w:val="clear" w:color="auto" w:fill="auto"/>
            <w:vAlign w:val="center"/>
          </w:tcPr>
          <w:p w14:paraId="77CE99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P4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077224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较高（60–80%）</w:t>
            </w:r>
          </w:p>
        </w:tc>
      </w:tr>
      <w:tr w14:paraId="624D1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82" w:type="dxa"/>
            <w:shd w:val="clear" w:color="auto" w:fill="auto"/>
            <w:vAlign w:val="center"/>
          </w:tcPr>
          <w:p w14:paraId="36E8E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P5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61397C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极高（&gt;80%）</w:t>
            </w:r>
          </w:p>
        </w:tc>
      </w:tr>
    </w:tbl>
    <w:p w14:paraId="00042A3A">
      <w:pPr>
        <w:rPr>
          <w:rFonts w:hint="eastAsia" w:ascii="仿宋" w:hAnsi="仿宋" w:eastAsia="仿宋" w:cs="仿宋"/>
          <w:vanish/>
          <w:sz w:val="24"/>
          <w:szCs w:val="24"/>
        </w:rPr>
      </w:pPr>
    </w:p>
    <w:tbl>
      <w:tblPr>
        <w:tblStyle w:val="33"/>
        <w:tblW w:w="8413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52"/>
        <w:gridCol w:w="6561"/>
      </w:tblGrid>
      <w:tr w14:paraId="6A8B4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807" w:type="dxa"/>
            <w:shd w:val="clear" w:color="auto" w:fill="auto"/>
            <w:vAlign w:val="center"/>
          </w:tcPr>
          <w:p w14:paraId="34D3FF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影响（I）</w:t>
            </w:r>
          </w:p>
        </w:tc>
        <w:tc>
          <w:tcPr>
            <w:tcW w:w="6516" w:type="dxa"/>
            <w:shd w:val="clear" w:color="auto" w:fill="auto"/>
            <w:vAlign w:val="center"/>
          </w:tcPr>
          <w:p w14:paraId="191AEB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定义</w:t>
            </w:r>
          </w:p>
        </w:tc>
      </w:tr>
      <w:tr w14:paraId="3C557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807" w:type="dxa"/>
            <w:shd w:val="clear" w:color="auto" w:fill="auto"/>
            <w:vAlign w:val="center"/>
          </w:tcPr>
          <w:p w14:paraId="2BBD20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I1</w:t>
            </w:r>
          </w:p>
        </w:tc>
        <w:tc>
          <w:tcPr>
            <w:tcW w:w="6516" w:type="dxa"/>
            <w:shd w:val="clear" w:color="auto" w:fill="auto"/>
            <w:vAlign w:val="center"/>
          </w:tcPr>
          <w:p w14:paraId="3CFB0C4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可忽略，不影响科研</w:t>
            </w:r>
          </w:p>
        </w:tc>
      </w:tr>
      <w:tr w14:paraId="3DA7B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807" w:type="dxa"/>
            <w:shd w:val="clear" w:color="auto" w:fill="auto"/>
            <w:vAlign w:val="center"/>
          </w:tcPr>
          <w:p w14:paraId="2C623F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I2</w:t>
            </w:r>
          </w:p>
        </w:tc>
        <w:tc>
          <w:tcPr>
            <w:tcW w:w="6516" w:type="dxa"/>
            <w:shd w:val="clear" w:color="auto" w:fill="auto"/>
            <w:vAlign w:val="center"/>
          </w:tcPr>
          <w:p w14:paraId="68E4A3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可接受，经小幅调整可解决</w:t>
            </w:r>
          </w:p>
        </w:tc>
      </w:tr>
      <w:tr w14:paraId="53658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807" w:type="dxa"/>
            <w:shd w:val="clear" w:color="auto" w:fill="auto"/>
            <w:vAlign w:val="center"/>
          </w:tcPr>
          <w:p w14:paraId="075727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I3</w:t>
            </w:r>
          </w:p>
        </w:tc>
        <w:tc>
          <w:tcPr>
            <w:tcW w:w="6516" w:type="dxa"/>
            <w:shd w:val="clear" w:color="auto" w:fill="auto"/>
            <w:vAlign w:val="center"/>
          </w:tcPr>
          <w:p w14:paraId="2D62A1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中度影响，需流程修订</w:t>
            </w:r>
          </w:p>
        </w:tc>
      </w:tr>
      <w:tr w14:paraId="55294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807" w:type="dxa"/>
            <w:shd w:val="clear" w:color="auto" w:fill="auto"/>
            <w:vAlign w:val="center"/>
          </w:tcPr>
          <w:p w14:paraId="3D17F9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I4</w:t>
            </w:r>
          </w:p>
        </w:tc>
        <w:tc>
          <w:tcPr>
            <w:tcW w:w="6516" w:type="dxa"/>
            <w:shd w:val="clear" w:color="auto" w:fill="auto"/>
            <w:vAlign w:val="center"/>
          </w:tcPr>
          <w:p w14:paraId="3971A7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严重影响，可能导致课题失败</w:t>
            </w:r>
          </w:p>
        </w:tc>
      </w:tr>
      <w:tr w14:paraId="0594C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807" w:type="dxa"/>
            <w:shd w:val="clear" w:color="auto" w:fill="auto"/>
            <w:vAlign w:val="center"/>
          </w:tcPr>
          <w:p w14:paraId="746F7F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I5</w:t>
            </w:r>
          </w:p>
        </w:tc>
        <w:tc>
          <w:tcPr>
            <w:tcW w:w="6516" w:type="dxa"/>
            <w:shd w:val="clear" w:color="auto" w:fill="auto"/>
            <w:vAlign w:val="center"/>
          </w:tcPr>
          <w:p w14:paraId="0F4C9F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极严重，导致研究不可发表或伦理风险</w:t>
            </w:r>
          </w:p>
        </w:tc>
      </w:tr>
    </w:tbl>
    <w:p w14:paraId="5915C2EC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风险等级 R = P × I，分为：</w:t>
      </w:r>
    </w:p>
    <w:p w14:paraId="4E83FDEA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绿区（R ≤ 4）：可接受</w:t>
      </w:r>
    </w:p>
    <w:p w14:paraId="1F98ADFE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黄区（5 ≤ R ≤ 12）：可控</w:t>
      </w:r>
    </w:p>
    <w:p w14:paraId="2EF81389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红区（R ≥ 15）：需立即处理 + 启动纠偏措施</w:t>
      </w:r>
    </w:p>
    <w:p w14:paraId="0A50B038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第三节 关键模块的风险识别与管理措施</w:t>
      </w:r>
    </w:p>
    <w:p w14:paraId="10E693C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本节按照 SRWS 八大模块进行系统化风险识别与管理策略制定。</w:t>
      </w:r>
    </w:p>
    <w:p w14:paraId="7B1AF901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1：选题与可行性风险</w:t>
      </w:r>
    </w:p>
    <w:p w14:paraId="4F0B4208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可能风险：</w:t>
      </w:r>
    </w:p>
    <w:p w14:paraId="4948C263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临床问题不真实、不重要</w:t>
      </w:r>
    </w:p>
    <w:p w14:paraId="567B6C6D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研究难度与资源不匹配</w:t>
      </w:r>
    </w:p>
    <w:p w14:paraId="0251CFEC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病例量不足</w:t>
      </w:r>
    </w:p>
    <w:p w14:paraId="68635EB0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管理措施：</w:t>
      </w:r>
    </w:p>
    <w:p w14:paraId="33CEB102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课题必须通过《选题论证表》</w:t>
      </w:r>
    </w:p>
    <w:p w14:paraId="7C1E93A8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T0 前置会议必须通过</w:t>
      </w:r>
    </w:p>
    <w:p w14:paraId="567DA505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可行性不充分的课题不得入 SRWS</w:t>
      </w:r>
    </w:p>
    <w:p w14:paraId="791D6BA7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2：文献检索与证据整合风险</w:t>
      </w:r>
    </w:p>
    <w:p w14:paraId="09C20A6F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主要风险：</w:t>
      </w:r>
    </w:p>
    <w:p w14:paraId="5B9CE720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检索不全面</w:t>
      </w:r>
    </w:p>
    <w:p w14:paraId="12464F99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PRISMA 不规范</w:t>
      </w:r>
    </w:p>
    <w:p w14:paraId="4A7C0135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证据提取错误</w:t>
      </w:r>
    </w:p>
    <w:p w14:paraId="63457EF0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管理措施：</w:t>
      </w:r>
    </w:p>
    <w:p w14:paraId="463926D9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RA 全流程检索</w:t>
      </w:r>
    </w:p>
    <w:p w14:paraId="741618BF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QC-1 审核 PRISMA</w:t>
      </w:r>
    </w:p>
    <w:p w14:paraId="0D902924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证据矩阵与研究空白必须由 SRWS-SC 审核</w:t>
      </w:r>
    </w:p>
    <w:p w14:paraId="19997ABF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3：研究方案与统计分析风险</w:t>
      </w:r>
    </w:p>
    <w:p w14:paraId="170087C6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主要风险：</w:t>
      </w:r>
    </w:p>
    <w:p w14:paraId="2F6E1365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Protocol 设计不当</w:t>
      </w:r>
    </w:p>
    <w:p w14:paraId="3427246F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SAP 不可执行</w:t>
      </w:r>
    </w:p>
    <w:p w14:paraId="6F85718C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统计模型错误</w:t>
      </w:r>
    </w:p>
    <w:p w14:paraId="3C9BBC29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偏倚控制失败</w:t>
      </w:r>
    </w:p>
    <w:p w14:paraId="2CBC0E95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管理措施：</w:t>
      </w:r>
    </w:p>
    <w:p w14:paraId="2CF30C3C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QC-2 检查 Protocol–SAP 一致性</w:t>
      </w:r>
    </w:p>
    <w:p w14:paraId="448322EC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统计顾问参与 T2 会议</w:t>
      </w:r>
    </w:p>
    <w:p w14:paraId="4D732DB0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所有样本量估算需提交依据（G*Power 记录）</w:t>
      </w:r>
    </w:p>
    <w:p w14:paraId="7AB9ED8B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4：伦理与合规风险</w:t>
      </w:r>
    </w:p>
    <w:p w14:paraId="79255AD0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主要风险：</w:t>
      </w:r>
    </w:p>
    <w:p w14:paraId="0D63DE30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知情同意书缺陷</w:t>
      </w:r>
    </w:p>
    <w:p w14:paraId="563BE7BE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数据隐私风险</w:t>
      </w:r>
    </w:p>
    <w:p w14:paraId="42B22598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AI/医工项目安全性不足</w:t>
      </w:r>
    </w:p>
    <w:p w14:paraId="4858410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管理措施：</w:t>
      </w:r>
    </w:p>
    <w:p w14:paraId="7D49C940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伦理办审核 ICF、数据脱敏、设备风险</w:t>
      </w:r>
    </w:p>
    <w:p w14:paraId="05458D3C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医工项目需提交《设备/算法 风险评估表》</w:t>
      </w:r>
    </w:p>
    <w:p w14:paraId="2F092FF3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不通过伦理不得开展研究</w:t>
      </w:r>
    </w:p>
    <w:p w14:paraId="4FFC6A02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5：数据字典、CRF 与数据采集风险</w:t>
      </w:r>
    </w:p>
    <w:p w14:paraId="2207C2DD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主要风险：</w:t>
      </w:r>
    </w:p>
    <w:p w14:paraId="31D02A6E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CRF 不规范</w:t>
      </w:r>
    </w:p>
    <w:p w14:paraId="74C9B884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数据字段缺失</w:t>
      </w:r>
    </w:p>
    <w:p w14:paraId="704DD66A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试填失败</w:t>
      </w:r>
    </w:p>
    <w:p w14:paraId="2ACEFACF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多中心数据不一致</w:t>
      </w:r>
    </w:p>
    <w:p w14:paraId="22F5DB7D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管理措施：</w:t>
      </w:r>
    </w:p>
    <w:p w14:paraId="554A843E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QC-3 检查 CRF 完整性</w:t>
      </w:r>
    </w:p>
    <w:p w14:paraId="23C2F1CC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必须进行 Pilot Filling</w:t>
      </w:r>
    </w:p>
    <w:p w14:paraId="56254A8F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多中心需统一数据字典与代码本</w:t>
      </w:r>
    </w:p>
    <w:p w14:paraId="3E4B2329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6：数据质量与锁定风险</w:t>
      </w:r>
    </w:p>
    <w:p w14:paraId="5D5A7849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主要风险：</w:t>
      </w:r>
    </w:p>
    <w:p w14:paraId="4F68A142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缺失值过多</w:t>
      </w:r>
    </w:p>
    <w:p w14:paraId="56DB3406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Freeze/Lock 失败</w:t>
      </w:r>
    </w:p>
    <w:p w14:paraId="2B05CA2C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Audit Trail 缺失</w:t>
      </w:r>
    </w:p>
    <w:p w14:paraId="040E0B81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统计数据与原始数据不一致</w:t>
      </w:r>
    </w:p>
    <w:p w14:paraId="79C99B91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管理措施：</w:t>
      </w:r>
    </w:p>
    <w:p w14:paraId="381D5356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QC-4 冻结/锁定检查</w:t>
      </w:r>
    </w:p>
    <w:p w14:paraId="5EBDA4C5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建立《数据问题记录表》</w:t>
      </w:r>
    </w:p>
    <w:p w14:paraId="4EED616E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Freeze 后数据不得再修改</w:t>
      </w:r>
    </w:p>
    <w:p w14:paraId="2A0D5619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7：统计分析与复现性风险</w:t>
      </w:r>
    </w:p>
    <w:p w14:paraId="13B435E6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主要风险：</w:t>
      </w:r>
    </w:p>
    <w:p w14:paraId="3365DA45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统计脚本无法复现</w:t>
      </w:r>
    </w:p>
    <w:p w14:paraId="54C8EEDE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图表与数据不一致</w:t>
      </w:r>
    </w:p>
    <w:p w14:paraId="5269485E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统计模型不适配设计</w:t>
      </w:r>
    </w:p>
    <w:p w14:paraId="5E4435BF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管理措施：</w:t>
      </w:r>
    </w:p>
    <w:p w14:paraId="653DA1DA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QC-5：复现性审核</w:t>
      </w:r>
    </w:p>
    <w:p w14:paraId="5CED69F9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统计脚本必须入库（Code Repo）</w:t>
      </w:r>
    </w:p>
    <w:p w14:paraId="79BEA07E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高级统计需由统计顾问参与</w:t>
      </w:r>
    </w:p>
    <w:p w14:paraId="44D6B6AF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模块 8：论文/专利与成果风险</w:t>
      </w:r>
    </w:p>
    <w:p w14:paraId="135587D7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主要风险：</w:t>
      </w:r>
    </w:p>
    <w:p w14:paraId="0EC093E0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文章逻辑不一致</w:t>
      </w:r>
    </w:p>
    <w:p w14:paraId="49E31BE1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结论与数据不匹配</w:t>
      </w:r>
    </w:p>
    <w:p w14:paraId="128ED2E4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专利缺乏新颖性</w:t>
      </w:r>
    </w:p>
    <w:p w14:paraId="18FB6040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管理措施：</w:t>
      </w:r>
    </w:p>
    <w:p w14:paraId="260E19D1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QC-6：文章一致性检查</w:t>
      </w:r>
    </w:p>
    <w:p w14:paraId="16A5813C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Manuscript Skeleton 强制执行</w:t>
      </w:r>
    </w:p>
    <w:p w14:paraId="1016C68B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专利需进行早期新颖性检索（IP Landscaping）</w:t>
      </w:r>
    </w:p>
    <w:p w14:paraId="1CC66699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第四节 风险事件响应机制（Incident Response System）</w:t>
      </w:r>
    </w:p>
    <w:p w14:paraId="6FE2278B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当出现风险事件时，启动“三级响应机制”。</w:t>
      </w:r>
    </w:p>
    <w:p w14:paraId="450042A4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一级响应：RA 层面</w:t>
      </w:r>
    </w:p>
    <w:p w14:paraId="071F1567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适用于轻微风险（R ≤ 4）</w:t>
      </w:r>
    </w:p>
    <w:p w14:paraId="77E5DF59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RA 记录并解决</w:t>
      </w:r>
    </w:p>
    <w:p w14:paraId="5E0738A7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必须完成《风险记录表》</w:t>
      </w:r>
    </w:p>
    <w:p w14:paraId="7CA44433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二级响应：PI 层面</w:t>
      </w:r>
    </w:p>
    <w:p w14:paraId="483B0C51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适用于中度风险（5 ≤ R ≤ 12）</w:t>
      </w:r>
    </w:p>
    <w:p w14:paraId="039A66DF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PI 组织应急工作组</w:t>
      </w:r>
    </w:p>
    <w:p w14:paraId="358B02D6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制定《纠偏计划（CAPA）》</w:t>
      </w:r>
    </w:p>
    <w:p w14:paraId="2A309228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报告 SRWS-SC</w:t>
      </w:r>
    </w:p>
    <w:p w14:paraId="2F88033E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三级响应：SRWS-SC 层面</w:t>
      </w:r>
    </w:p>
    <w:p w14:paraId="09F168A7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适用于严重风险（R ≥ 15）</w:t>
      </w:r>
    </w:p>
    <w:p w14:paraId="195E3164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启动课题中止/重启评估</w:t>
      </w:r>
    </w:p>
    <w:p w14:paraId="10D66C04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需要 SRWS 委员会开会讨论</w:t>
      </w:r>
    </w:p>
    <w:p w14:paraId="51D95767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必须形成《重大风险事件报告》</w:t>
      </w:r>
    </w:p>
    <w:p w14:paraId="07F508F1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第五节 质量保障体系（QA：Quality Assurance）</w:t>
      </w:r>
    </w:p>
    <w:p w14:paraId="1C479AD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质量保障从“制度—流程—执行—监督”四层构建。</w:t>
      </w:r>
    </w:p>
    <w:p w14:paraId="71ED7EAC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一、制度保障</w:t>
      </w:r>
    </w:p>
    <w:p w14:paraId="27317B47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工具包（Template/SOP/Checklist）</w:t>
      </w:r>
    </w:p>
    <w:p w14:paraId="616F5FB4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伦理合规制度</w:t>
      </w:r>
    </w:p>
    <w:p w14:paraId="38EE72C5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数据管理规范</w:t>
      </w:r>
    </w:p>
    <w:p w14:paraId="67105FE2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统计分析规范</w:t>
      </w:r>
    </w:p>
    <w:p w14:paraId="64471F2A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二、流程保障</w:t>
      </w:r>
    </w:p>
    <w:p w14:paraId="08B488DA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统一的 T0–T11 流程</w:t>
      </w:r>
    </w:p>
    <w:p w14:paraId="5F6707F9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 节点强制执行</w:t>
      </w:r>
    </w:p>
    <w:p w14:paraId="0132B7F5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数据冻结、锁定制度</w:t>
      </w:r>
    </w:p>
    <w:p w14:paraId="3C4F6096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研究三级存档义务（原始数据、ADS、成果包）</w:t>
      </w:r>
    </w:p>
    <w:p w14:paraId="735C3494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三、执行保障</w:t>
      </w:r>
    </w:p>
    <w:p w14:paraId="552C2FB1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角色分工（PI、RA、统计人员、科研办）</w:t>
      </w:r>
    </w:p>
    <w:p w14:paraId="6EF8822B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工具包强制使用</w:t>
      </w:r>
    </w:p>
    <w:p w14:paraId="4268F8AE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全过程会议记录制度（T0–T11）</w:t>
      </w:r>
    </w:p>
    <w:p w14:paraId="26C9512C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四、监督保障</w:t>
      </w:r>
    </w:p>
    <w:p w14:paraId="2600014B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科研办年度审计</w:t>
      </w:r>
    </w:p>
    <w:p w14:paraId="1225DC65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SRWS-SC 半年检查</w:t>
      </w:r>
    </w:p>
    <w:p w14:paraId="64F69D95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伦理办专项检查</w:t>
      </w:r>
    </w:p>
    <w:p w14:paraId="4F69B346">
      <w:pPr>
        <w:pStyle w:val="30"/>
        <w:keepNext w:val="0"/>
        <w:keepLines w:val="0"/>
        <w:widowControl/>
        <w:numPr>
          <w:ilvl w:val="0"/>
          <w:numId w:val="4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数据安全内审（信息科）</w:t>
      </w:r>
    </w:p>
    <w:p w14:paraId="48589103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第六节 持续质量改进机制（Continuous Quality Improvement）</w:t>
      </w:r>
    </w:p>
    <w:p w14:paraId="5AD3B716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质量管理的核心是“年度升级 + 持续改善”。</w:t>
      </w:r>
    </w:p>
    <w:p w14:paraId="4BE2991D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主要内容包括：</w:t>
      </w:r>
    </w:p>
    <w:p w14:paraId="66B5F24C">
      <w:pPr>
        <w:pStyle w:val="30"/>
        <w:keepNext w:val="0"/>
        <w:keepLines w:val="0"/>
        <w:widowControl/>
        <w:numPr>
          <w:ilvl w:val="0"/>
          <w:numId w:val="4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年度 SRWS 效能分析报告</w:t>
      </w:r>
    </w:p>
    <w:p w14:paraId="2414821B">
      <w:pPr>
        <w:pStyle w:val="30"/>
        <w:keepNext w:val="0"/>
        <w:keepLines w:val="0"/>
        <w:widowControl/>
        <w:numPr>
          <w:ilvl w:val="0"/>
          <w:numId w:val="4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年度 QC 节点通过率趋势分析</w:t>
      </w:r>
    </w:p>
    <w:p w14:paraId="14E1C093">
      <w:pPr>
        <w:pStyle w:val="30"/>
        <w:keepNext w:val="0"/>
        <w:keepLines w:val="0"/>
        <w:widowControl/>
        <w:numPr>
          <w:ilvl w:val="0"/>
          <w:numId w:val="4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科研数据质量年度报告</w:t>
      </w:r>
    </w:p>
    <w:p w14:paraId="1BBCFC0F">
      <w:pPr>
        <w:pStyle w:val="30"/>
        <w:keepNext w:val="0"/>
        <w:keepLines w:val="0"/>
        <w:widowControl/>
        <w:numPr>
          <w:ilvl w:val="0"/>
          <w:numId w:val="4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体系瓶颈识别与优化措施</w:t>
      </w:r>
    </w:p>
    <w:p w14:paraId="10BDC4CC">
      <w:pPr>
        <w:pStyle w:val="30"/>
        <w:keepNext w:val="0"/>
        <w:keepLines w:val="0"/>
        <w:widowControl/>
        <w:numPr>
          <w:ilvl w:val="0"/>
          <w:numId w:val="4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工具包（Toolkits）升级</w:t>
      </w:r>
    </w:p>
    <w:p w14:paraId="679488AE">
      <w:pPr>
        <w:pStyle w:val="30"/>
        <w:keepNext w:val="0"/>
        <w:keepLines w:val="0"/>
        <w:widowControl/>
        <w:numPr>
          <w:ilvl w:val="0"/>
          <w:numId w:val="4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培训体系（Training System）迭代</w:t>
      </w:r>
    </w:p>
    <w:p w14:paraId="6F4D1AEB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每年形成一份完整的《SRWS 年度质量报告（SRWS-AQR）》。</w:t>
      </w:r>
    </w:p>
    <w:bookmarkEnd w:id="2"/>
    <w:bookmarkEnd w:id="3"/>
    <w:p w14:paraId="05E985A3">
      <w:pPr>
        <w:pStyle w:val="4"/>
        <w:bidi w:val="0"/>
      </w:pPr>
      <w:bookmarkStart w:id="4" w:name="第八章-附则"/>
      <w:r>
        <w:t>第九章 体系评估与推广应用</w:t>
      </w:r>
    </w:p>
    <w:p w14:paraId="2FEEC335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标准化科研全流程体系（SRWS）作为医院面向临床研究能力建设的核心基础设施，需要形成“体系评估—成效验证—区域推广”的闭环。本章建立 SRWS 的体系评估方法与推广实施路径，确保体系具有科学性、可复制性与可推广性。</w:t>
      </w:r>
    </w:p>
    <w:p w14:paraId="5B528779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第一节 SRWS 体系评估（System Evaluation Framework）</w:t>
      </w:r>
    </w:p>
    <w:p w14:paraId="3817DFBE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SRWS 的评估体系由“结构–过程–结果（Structure–Process–Outcome）”三维度构成，符合临床与科研体系评价的国际标准（Donabedian Model）。</w:t>
      </w:r>
    </w:p>
    <w:p w14:paraId="1347C0CF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一、结构评价（Structure Evaluation）</w:t>
      </w:r>
    </w:p>
    <w:p w14:paraId="2A29A205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用于评估 SRWS 的基础能力与运行条件，指标包括：</w:t>
      </w:r>
    </w:p>
    <w:p w14:paraId="4EE9083D">
      <w:pPr>
        <w:pStyle w:val="30"/>
        <w:keepNext w:val="0"/>
        <w:keepLines w:val="0"/>
        <w:widowControl/>
        <w:numPr>
          <w:ilvl w:val="0"/>
          <w:numId w:val="4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组织架构健全度</w:t>
      </w:r>
    </w:p>
    <w:p w14:paraId="142DF092">
      <w:pPr>
        <w:pStyle w:val="30"/>
        <w:keepNext w:val="0"/>
        <w:keepLines w:val="0"/>
        <w:widowControl/>
        <w:numPr>
          <w:ilvl w:val="0"/>
          <w:numId w:val="44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SRWS-SC 是否运行</w:t>
      </w:r>
    </w:p>
    <w:p w14:paraId="7555CEBE">
      <w:pPr>
        <w:pStyle w:val="30"/>
        <w:keepNext w:val="0"/>
        <w:keepLines w:val="0"/>
        <w:widowControl/>
        <w:numPr>
          <w:ilvl w:val="0"/>
          <w:numId w:val="44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PI、RA、统计人员配置是否齐备</w:t>
      </w:r>
    </w:p>
    <w:p w14:paraId="0E00A32F">
      <w:pPr>
        <w:pStyle w:val="30"/>
        <w:keepNext w:val="0"/>
        <w:keepLines w:val="0"/>
        <w:widowControl/>
        <w:numPr>
          <w:ilvl w:val="0"/>
          <w:numId w:val="4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工具包（Toolkits）完备度</w:t>
      </w:r>
    </w:p>
    <w:p w14:paraId="3EDEC1D4">
      <w:pPr>
        <w:pStyle w:val="30"/>
        <w:keepNext w:val="0"/>
        <w:keepLines w:val="0"/>
        <w:widowControl/>
        <w:numPr>
          <w:ilvl w:val="0"/>
          <w:numId w:val="4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八大类工具包是否可用</w:t>
      </w:r>
    </w:p>
    <w:p w14:paraId="75AE44E8">
      <w:pPr>
        <w:pStyle w:val="30"/>
        <w:keepNext w:val="0"/>
        <w:keepLines w:val="0"/>
        <w:widowControl/>
        <w:numPr>
          <w:ilvl w:val="0"/>
          <w:numId w:val="4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模块、SOP、Checklist 是否完整</w:t>
      </w:r>
    </w:p>
    <w:p w14:paraId="014BCAA5">
      <w:pPr>
        <w:pStyle w:val="30"/>
        <w:keepNext w:val="0"/>
        <w:keepLines w:val="0"/>
        <w:widowControl/>
        <w:numPr>
          <w:ilvl w:val="0"/>
          <w:numId w:val="4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信息化与数据基础</w:t>
      </w:r>
    </w:p>
    <w:p w14:paraId="48120A05">
      <w:pPr>
        <w:pStyle w:val="30"/>
        <w:keepNext w:val="0"/>
        <w:keepLines w:val="0"/>
        <w:widowControl/>
        <w:numPr>
          <w:ilvl w:val="0"/>
          <w:numId w:val="46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数据字典统一性</w:t>
      </w:r>
    </w:p>
    <w:p w14:paraId="4A558EFD">
      <w:pPr>
        <w:pStyle w:val="30"/>
        <w:keepNext w:val="0"/>
        <w:keepLines w:val="0"/>
        <w:widowControl/>
        <w:numPr>
          <w:ilvl w:val="0"/>
          <w:numId w:val="46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EDC 或数据录入系统是否支持</w:t>
      </w:r>
    </w:p>
    <w:p w14:paraId="629FBBCD">
      <w:pPr>
        <w:pStyle w:val="30"/>
        <w:keepNext w:val="0"/>
        <w:keepLines w:val="0"/>
        <w:widowControl/>
        <w:numPr>
          <w:ilvl w:val="0"/>
          <w:numId w:val="46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安全等级评估是否通过</w:t>
      </w:r>
    </w:p>
    <w:p w14:paraId="6A02EE0E">
      <w:pPr>
        <w:pStyle w:val="30"/>
        <w:keepNext w:val="0"/>
        <w:keepLines w:val="0"/>
        <w:widowControl/>
        <w:numPr>
          <w:ilvl w:val="0"/>
          <w:numId w:val="4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培训体系完备度</w:t>
      </w:r>
    </w:p>
    <w:p w14:paraId="3C70A578">
      <w:pPr>
        <w:pStyle w:val="30"/>
        <w:keepNext w:val="0"/>
        <w:keepLines w:val="0"/>
        <w:widowControl/>
        <w:numPr>
          <w:ilvl w:val="0"/>
          <w:numId w:val="4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是否有年度培训计划</w:t>
      </w:r>
    </w:p>
    <w:p w14:paraId="66A31C89">
      <w:pPr>
        <w:pStyle w:val="30"/>
        <w:keepNext w:val="0"/>
        <w:keepLines w:val="0"/>
        <w:widowControl/>
        <w:numPr>
          <w:ilvl w:val="0"/>
          <w:numId w:val="4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SRWS-C（认证体系）实施情况</w:t>
      </w:r>
    </w:p>
    <w:p w14:paraId="0AE2A07E">
      <w:pPr>
        <w:pStyle w:val="30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结构评价结果分为 A/B/C 三级。</w:t>
      </w:r>
    </w:p>
    <w:p w14:paraId="71E31D81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二、过程评价（Process Evaluation）</w:t>
      </w:r>
    </w:p>
    <w:p w14:paraId="14B5C650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重点评价科研流程是否按 SRWS 执行。</w:t>
      </w:r>
    </w:p>
    <w:p w14:paraId="5CF84450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核心评价指标：</w:t>
      </w:r>
    </w:p>
    <w:p w14:paraId="32825134">
      <w:pPr>
        <w:pStyle w:val="30"/>
        <w:keepNext w:val="0"/>
        <w:keepLines w:val="0"/>
        <w:widowControl/>
        <w:numPr>
          <w:ilvl w:val="0"/>
          <w:numId w:val="4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T0–T11 达成率</w:t>
      </w:r>
    </w:p>
    <w:p w14:paraId="6253DB1C">
      <w:pPr>
        <w:pStyle w:val="30"/>
        <w:keepNext w:val="0"/>
        <w:keepLines w:val="0"/>
        <w:widowControl/>
        <w:numPr>
          <w:ilvl w:val="0"/>
          <w:numId w:val="4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是否按时完成</w:t>
      </w:r>
    </w:p>
    <w:p w14:paraId="68619561">
      <w:pPr>
        <w:pStyle w:val="30"/>
        <w:keepNext w:val="0"/>
        <w:keepLines w:val="0"/>
        <w:widowControl/>
        <w:numPr>
          <w:ilvl w:val="0"/>
          <w:numId w:val="4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延误情况</w:t>
      </w:r>
    </w:p>
    <w:p w14:paraId="1A388162">
      <w:pPr>
        <w:pStyle w:val="30"/>
        <w:keepNext w:val="0"/>
        <w:keepLines w:val="0"/>
        <w:widowControl/>
        <w:numPr>
          <w:ilvl w:val="0"/>
          <w:numId w:val="4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QC 节点通过率</w:t>
      </w:r>
    </w:p>
    <w:p w14:paraId="7CBC1FF8">
      <w:pPr>
        <w:pStyle w:val="30"/>
        <w:keepNext w:val="0"/>
        <w:keepLines w:val="0"/>
        <w:widowControl/>
        <w:numPr>
          <w:ilvl w:val="0"/>
          <w:numId w:val="50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QC-1 至 QC-6 每项得分</w:t>
      </w:r>
    </w:p>
    <w:p w14:paraId="1A006639">
      <w:pPr>
        <w:pStyle w:val="30"/>
        <w:keepNext w:val="0"/>
        <w:keepLines w:val="0"/>
        <w:widowControl/>
        <w:numPr>
          <w:ilvl w:val="0"/>
          <w:numId w:val="50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不通过原因分析</w:t>
      </w:r>
    </w:p>
    <w:p w14:paraId="1743036B">
      <w:pPr>
        <w:pStyle w:val="30"/>
        <w:keepNext w:val="0"/>
        <w:keepLines w:val="0"/>
        <w:widowControl/>
        <w:numPr>
          <w:ilvl w:val="0"/>
          <w:numId w:val="4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流程规范性</w:t>
      </w:r>
    </w:p>
    <w:p w14:paraId="0E234F59">
      <w:pPr>
        <w:pStyle w:val="30"/>
        <w:keepNext w:val="0"/>
        <w:keepLines w:val="0"/>
        <w:widowControl/>
        <w:numPr>
          <w:ilvl w:val="0"/>
          <w:numId w:val="5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是否有跳步</w:t>
      </w:r>
    </w:p>
    <w:p w14:paraId="33C6C427">
      <w:pPr>
        <w:pStyle w:val="30"/>
        <w:keepNext w:val="0"/>
        <w:keepLines w:val="0"/>
        <w:widowControl/>
        <w:numPr>
          <w:ilvl w:val="0"/>
          <w:numId w:val="5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是否按 SOP 执行</w:t>
      </w:r>
    </w:p>
    <w:p w14:paraId="3DE156EA">
      <w:pPr>
        <w:pStyle w:val="30"/>
        <w:keepNext w:val="0"/>
        <w:keepLines w:val="0"/>
        <w:widowControl/>
        <w:numPr>
          <w:ilvl w:val="0"/>
          <w:numId w:val="51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会议记录、归档是否完整</w:t>
      </w:r>
    </w:p>
    <w:p w14:paraId="3EEBD348">
      <w:pPr>
        <w:pStyle w:val="30"/>
        <w:keepNext w:val="0"/>
        <w:keepLines w:val="0"/>
        <w:widowControl/>
        <w:numPr>
          <w:ilvl w:val="0"/>
          <w:numId w:val="4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跨课题一致性</w:t>
      </w:r>
    </w:p>
    <w:p w14:paraId="72F614B3">
      <w:pPr>
        <w:pStyle w:val="30"/>
        <w:keepNext w:val="0"/>
        <w:keepLines w:val="0"/>
        <w:widowControl/>
        <w:numPr>
          <w:ilvl w:val="0"/>
          <w:numId w:val="5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不同课题流程是否一致性良好</w:t>
      </w:r>
    </w:p>
    <w:p w14:paraId="1429EBC5">
      <w:pPr>
        <w:pStyle w:val="30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结果按合规率分级：</w:t>
      </w:r>
    </w:p>
    <w:p w14:paraId="25A438E0">
      <w:pPr>
        <w:pStyle w:val="30"/>
        <w:keepNext w:val="0"/>
        <w:keepLines w:val="0"/>
        <w:widowControl/>
        <w:numPr>
          <w:ilvl w:val="0"/>
          <w:numId w:val="5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≥90% 为优秀</w:t>
      </w:r>
    </w:p>
    <w:p w14:paraId="79FB2565">
      <w:pPr>
        <w:pStyle w:val="30"/>
        <w:keepNext w:val="0"/>
        <w:keepLines w:val="0"/>
        <w:widowControl/>
        <w:numPr>
          <w:ilvl w:val="0"/>
          <w:numId w:val="5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≥75% 为良好</w:t>
      </w:r>
    </w:p>
    <w:p w14:paraId="4407B572">
      <w:pPr>
        <w:pStyle w:val="30"/>
        <w:keepNext w:val="0"/>
        <w:keepLines w:val="0"/>
        <w:widowControl/>
        <w:numPr>
          <w:ilvl w:val="0"/>
          <w:numId w:val="5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≥60% 为合格</w:t>
      </w:r>
    </w:p>
    <w:p w14:paraId="0D6C5713">
      <w:pPr>
        <w:pStyle w:val="30"/>
        <w:keepNext w:val="0"/>
        <w:keepLines w:val="0"/>
        <w:widowControl/>
        <w:numPr>
          <w:ilvl w:val="0"/>
          <w:numId w:val="52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&lt;60% 为不合格</w:t>
      </w:r>
    </w:p>
    <w:p w14:paraId="27B88FEF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三、结果评价（Outcome Evaluation）</w:t>
      </w:r>
    </w:p>
    <w:p w14:paraId="29559A7E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用于评估 SRWS 的科研产出与对临床科室发展的促进作用。</w:t>
      </w:r>
    </w:p>
    <w:p w14:paraId="10CAB2FB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包括：</w:t>
      </w:r>
    </w:p>
    <w:p w14:paraId="444FDB6D">
      <w:pPr>
        <w:pStyle w:val="30"/>
        <w:keepNext w:val="0"/>
        <w:keepLines w:val="0"/>
        <w:widowControl/>
        <w:numPr>
          <w:ilvl w:val="0"/>
          <w:numId w:val="5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科研产出</w:t>
      </w:r>
    </w:p>
    <w:p w14:paraId="3B7090D6">
      <w:pPr>
        <w:pStyle w:val="30"/>
        <w:keepNext w:val="0"/>
        <w:keepLines w:val="0"/>
        <w:widowControl/>
        <w:numPr>
          <w:ilvl w:val="0"/>
          <w:numId w:val="54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论文：数量、质量、等级（SCI/core）</w:t>
      </w:r>
    </w:p>
    <w:p w14:paraId="7450BC7B">
      <w:pPr>
        <w:pStyle w:val="30"/>
        <w:keepNext w:val="0"/>
        <w:keepLines w:val="0"/>
        <w:widowControl/>
        <w:numPr>
          <w:ilvl w:val="0"/>
          <w:numId w:val="54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专利：申请、授权、转化</w:t>
      </w:r>
    </w:p>
    <w:p w14:paraId="65030C3D">
      <w:pPr>
        <w:pStyle w:val="30"/>
        <w:keepNext w:val="0"/>
        <w:keepLines w:val="0"/>
        <w:widowControl/>
        <w:numPr>
          <w:ilvl w:val="0"/>
          <w:numId w:val="54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研究报告、行业共识</w:t>
      </w:r>
    </w:p>
    <w:p w14:paraId="541BD38C">
      <w:pPr>
        <w:pStyle w:val="30"/>
        <w:keepNext w:val="0"/>
        <w:keepLines w:val="0"/>
        <w:widowControl/>
        <w:numPr>
          <w:ilvl w:val="0"/>
          <w:numId w:val="5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人才能力提高</w:t>
      </w:r>
    </w:p>
    <w:p w14:paraId="0ADD638A">
      <w:pPr>
        <w:pStyle w:val="30"/>
        <w:keepNext w:val="0"/>
        <w:keepLines w:val="0"/>
        <w:widowControl/>
        <w:numPr>
          <w:ilvl w:val="0"/>
          <w:numId w:val="5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PI 新增数量</w:t>
      </w:r>
    </w:p>
    <w:p w14:paraId="454D84C1">
      <w:pPr>
        <w:pStyle w:val="30"/>
        <w:keepNext w:val="0"/>
        <w:keepLines w:val="0"/>
        <w:widowControl/>
        <w:numPr>
          <w:ilvl w:val="0"/>
          <w:numId w:val="5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RA 能力提升</w:t>
      </w:r>
    </w:p>
    <w:p w14:paraId="635FCEBA">
      <w:pPr>
        <w:pStyle w:val="30"/>
        <w:keepNext w:val="0"/>
        <w:keepLines w:val="0"/>
        <w:widowControl/>
        <w:numPr>
          <w:ilvl w:val="0"/>
          <w:numId w:val="5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住培与研究生科研能力提升</w:t>
      </w:r>
    </w:p>
    <w:p w14:paraId="5D4B883B">
      <w:pPr>
        <w:pStyle w:val="30"/>
        <w:keepNext w:val="0"/>
        <w:keepLines w:val="0"/>
        <w:widowControl/>
        <w:numPr>
          <w:ilvl w:val="0"/>
          <w:numId w:val="5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科研文化形成</w:t>
      </w:r>
    </w:p>
    <w:p w14:paraId="1B4D0087">
      <w:pPr>
        <w:pStyle w:val="30"/>
        <w:keepNext w:val="0"/>
        <w:keepLines w:val="0"/>
        <w:widowControl/>
        <w:numPr>
          <w:ilvl w:val="0"/>
          <w:numId w:val="56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科室科研氛围</w:t>
      </w:r>
    </w:p>
    <w:p w14:paraId="58394886">
      <w:pPr>
        <w:pStyle w:val="30"/>
        <w:keepNext w:val="0"/>
        <w:keepLines w:val="0"/>
        <w:widowControl/>
        <w:numPr>
          <w:ilvl w:val="0"/>
          <w:numId w:val="56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规范化科研习惯形成情况</w:t>
      </w:r>
    </w:p>
    <w:p w14:paraId="1BB20041">
      <w:pPr>
        <w:pStyle w:val="30"/>
        <w:keepNext w:val="0"/>
        <w:keepLines w:val="0"/>
        <w:widowControl/>
        <w:numPr>
          <w:ilvl w:val="0"/>
          <w:numId w:val="5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临床决策与服务提升</w:t>
      </w:r>
    </w:p>
    <w:p w14:paraId="2FEB8B46">
      <w:pPr>
        <w:pStyle w:val="30"/>
        <w:keepNext w:val="0"/>
        <w:keepLines w:val="0"/>
        <w:widowControl/>
        <w:numPr>
          <w:ilvl w:val="0"/>
          <w:numId w:val="5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RWS 证据对临床路径的优化作用</w:t>
      </w:r>
    </w:p>
    <w:p w14:paraId="3C474997">
      <w:pPr>
        <w:pStyle w:val="30"/>
        <w:keepNext w:val="0"/>
        <w:keepLines w:val="0"/>
        <w:widowControl/>
        <w:numPr>
          <w:ilvl w:val="0"/>
          <w:numId w:val="5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PRI/PARI/PoRA-6 等研究工具的实际应用</w:t>
      </w:r>
    </w:p>
    <w:p w14:paraId="29860D63">
      <w:pPr>
        <w:pStyle w:val="5"/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第二节 SRWS 成效验证（Effectiveness Verification）</w:t>
      </w:r>
    </w:p>
    <w:p w14:paraId="588A0EF1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体系的成效验证需采用“量化+质性评估”。</w:t>
      </w:r>
    </w:p>
    <w:p w14:paraId="66EAEDA6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一、量化验证</w:t>
      </w:r>
    </w:p>
    <w:p w14:paraId="195A9F39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使用特定量化指标衡量 SRWS 成效：</w:t>
      </w:r>
    </w:p>
    <w:tbl>
      <w:tblPr>
        <w:tblStyle w:val="33"/>
        <w:tblW w:w="8413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96"/>
        <w:gridCol w:w="5017"/>
      </w:tblGrid>
      <w:tr w14:paraId="33240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351" w:type="dxa"/>
            <w:shd w:val="clear" w:color="auto" w:fill="auto"/>
            <w:vAlign w:val="center"/>
          </w:tcPr>
          <w:p w14:paraId="1630C6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指标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6B9994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 w:val="24"/>
                <w:szCs w:val="24"/>
                <w:lang w:val="en-US" w:eastAsia="zh-CN" w:bidi="ar"/>
              </w:rPr>
              <w:t>验证内容</w:t>
            </w:r>
          </w:p>
        </w:tc>
      </w:tr>
      <w:tr w14:paraId="164E9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351" w:type="dxa"/>
            <w:shd w:val="clear" w:color="auto" w:fill="auto"/>
            <w:vAlign w:val="center"/>
          </w:tcPr>
          <w:p w14:paraId="0B83E0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科研效率提升率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37B20C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T0-T11 平均周期缩短情况</w:t>
            </w:r>
          </w:p>
        </w:tc>
      </w:tr>
      <w:tr w14:paraId="79424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351" w:type="dxa"/>
            <w:shd w:val="clear" w:color="auto" w:fill="auto"/>
            <w:vAlign w:val="center"/>
          </w:tcPr>
          <w:p w14:paraId="7DA6A9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数据质量提升率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216C5F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QC 得分变化趋势</w:t>
            </w:r>
          </w:p>
        </w:tc>
      </w:tr>
      <w:tr w14:paraId="481D7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351" w:type="dxa"/>
            <w:shd w:val="clear" w:color="auto" w:fill="auto"/>
            <w:vAlign w:val="center"/>
          </w:tcPr>
          <w:p w14:paraId="06C118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统计复现性达标率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7EC0A6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重算一致性</w:t>
            </w:r>
          </w:p>
        </w:tc>
      </w:tr>
      <w:tr w14:paraId="146AB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351" w:type="dxa"/>
            <w:shd w:val="clear" w:color="auto" w:fill="auto"/>
            <w:vAlign w:val="center"/>
          </w:tcPr>
          <w:p w14:paraId="367A9A3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成果产出增长率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700D3C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论文、专利、科研项目数量</w:t>
            </w:r>
          </w:p>
        </w:tc>
      </w:tr>
      <w:tr w14:paraId="65FDE5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351" w:type="dxa"/>
            <w:shd w:val="clear" w:color="auto" w:fill="auto"/>
            <w:vAlign w:val="center"/>
          </w:tcPr>
          <w:p w14:paraId="67FD9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人才能力提升指标</w:t>
            </w:r>
          </w:p>
        </w:tc>
        <w:tc>
          <w:tcPr>
            <w:tcW w:w="4972" w:type="dxa"/>
            <w:shd w:val="clear" w:color="auto" w:fill="auto"/>
            <w:vAlign w:val="center"/>
          </w:tcPr>
          <w:p w14:paraId="4FEF20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 w:bidi="ar"/>
              </w:rPr>
              <w:t>PI/RA/青年骨干增长</w:t>
            </w:r>
          </w:p>
        </w:tc>
      </w:tr>
    </w:tbl>
    <w:p w14:paraId="075086BD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二、质性验证</w:t>
      </w:r>
    </w:p>
    <w:p w14:paraId="5D780FB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通过访谈、问卷、专家讨论等方式验证体系价值：</w:t>
      </w:r>
    </w:p>
    <w:p w14:paraId="39FB87C4">
      <w:pPr>
        <w:pStyle w:val="30"/>
        <w:keepNext w:val="0"/>
        <w:keepLines w:val="0"/>
        <w:widowControl/>
        <w:numPr>
          <w:ilvl w:val="0"/>
          <w:numId w:val="5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体系可操作性</w:t>
      </w:r>
    </w:p>
    <w:p w14:paraId="0F4C6B26">
      <w:pPr>
        <w:pStyle w:val="30"/>
        <w:keepNext w:val="0"/>
        <w:keepLines w:val="0"/>
        <w:widowControl/>
        <w:numPr>
          <w:ilvl w:val="0"/>
          <w:numId w:val="5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工具包易用性</w:t>
      </w:r>
    </w:p>
    <w:p w14:paraId="486AD3B5">
      <w:pPr>
        <w:pStyle w:val="30"/>
        <w:keepNext w:val="0"/>
        <w:keepLines w:val="0"/>
        <w:widowControl/>
        <w:numPr>
          <w:ilvl w:val="0"/>
          <w:numId w:val="5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流程一致性</w:t>
      </w:r>
    </w:p>
    <w:p w14:paraId="2577587F">
      <w:pPr>
        <w:pStyle w:val="30"/>
        <w:keepNext w:val="0"/>
        <w:keepLines w:val="0"/>
        <w:widowControl/>
        <w:numPr>
          <w:ilvl w:val="0"/>
          <w:numId w:val="5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团队协作改善</w:t>
      </w:r>
    </w:p>
    <w:p w14:paraId="0298748C">
      <w:pPr>
        <w:pStyle w:val="30"/>
        <w:keepNext w:val="0"/>
        <w:keepLines w:val="0"/>
        <w:widowControl/>
        <w:numPr>
          <w:ilvl w:val="0"/>
          <w:numId w:val="5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科研文化影响力</w:t>
      </w:r>
    </w:p>
    <w:p w14:paraId="25BFC456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三、SRWS 年度成效报告（Annual SRWS Effectiveness Report）</w:t>
      </w:r>
    </w:p>
    <w:p w14:paraId="618F6E5D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报告由 SRWS-SC 组织形成，内容包括：</w:t>
      </w:r>
    </w:p>
    <w:p w14:paraId="21F12436">
      <w:pPr>
        <w:pStyle w:val="30"/>
        <w:keepNext w:val="0"/>
        <w:keepLines w:val="0"/>
        <w:widowControl/>
        <w:numPr>
          <w:ilvl w:val="0"/>
          <w:numId w:val="5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体系运行年度总结</w:t>
      </w:r>
    </w:p>
    <w:p w14:paraId="0F2090AD">
      <w:pPr>
        <w:pStyle w:val="30"/>
        <w:keepNext w:val="0"/>
        <w:keepLines w:val="0"/>
        <w:widowControl/>
        <w:numPr>
          <w:ilvl w:val="0"/>
          <w:numId w:val="5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绩效与质量得分</w:t>
      </w:r>
    </w:p>
    <w:p w14:paraId="6873DC80">
      <w:pPr>
        <w:pStyle w:val="30"/>
        <w:keepNext w:val="0"/>
        <w:keepLines w:val="0"/>
        <w:widowControl/>
        <w:numPr>
          <w:ilvl w:val="0"/>
          <w:numId w:val="5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风险与问题汇总</w:t>
      </w:r>
    </w:p>
    <w:p w14:paraId="3410AB68">
      <w:pPr>
        <w:pStyle w:val="30"/>
        <w:keepNext w:val="0"/>
        <w:keepLines w:val="0"/>
        <w:widowControl/>
        <w:numPr>
          <w:ilvl w:val="0"/>
          <w:numId w:val="5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改进措施与次年计划</w:t>
      </w:r>
    </w:p>
    <w:p w14:paraId="14F8F78E">
      <w:pPr>
        <w:pStyle w:val="30"/>
        <w:keepNext w:val="0"/>
        <w:keepLines w:val="0"/>
        <w:widowControl/>
        <w:numPr>
          <w:ilvl w:val="0"/>
          <w:numId w:val="58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工具包修订说明</w:t>
      </w:r>
    </w:p>
    <w:p w14:paraId="2A9E54B0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是体系持续运行最重要的文档之一。</w:t>
      </w:r>
    </w:p>
    <w:p w14:paraId="558E4ECF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第三节 SRWS 推广应用路径（Dissemination &amp; Scaling）</w:t>
      </w:r>
    </w:p>
    <w:p w14:paraId="74733A2D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SRWS 的推广需遵循“内部成熟—院内推广—区域推广”的三阶段逻辑，形成示范效应。</w:t>
      </w:r>
    </w:p>
    <w:p w14:paraId="100F82FD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一、第一阶段：科室内部巩固（Internal Consolidation）</w:t>
      </w:r>
    </w:p>
    <w:p w14:paraId="18B0DDFD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实施内容包括：</w:t>
      </w:r>
    </w:p>
    <w:p w14:paraId="61A92EB2">
      <w:pPr>
        <w:pStyle w:val="30"/>
        <w:keepNext w:val="0"/>
        <w:keepLines w:val="0"/>
        <w:widowControl/>
        <w:numPr>
          <w:ilvl w:val="0"/>
          <w:numId w:val="59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科室全员培训</w:t>
      </w:r>
    </w:p>
    <w:p w14:paraId="56CE7B7B">
      <w:pPr>
        <w:pStyle w:val="30"/>
        <w:keepNext w:val="0"/>
        <w:keepLines w:val="0"/>
        <w:widowControl/>
        <w:numPr>
          <w:ilvl w:val="0"/>
          <w:numId w:val="59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工具包强制使用</w:t>
      </w:r>
    </w:p>
    <w:p w14:paraId="5204767D">
      <w:pPr>
        <w:pStyle w:val="30"/>
        <w:keepNext w:val="0"/>
        <w:keepLines w:val="0"/>
        <w:widowControl/>
        <w:numPr>
          <w:ilvl w:val="0"/>
          <w:numId w:val="59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三个示范课题（Pilot Projects）</w:t>
      </w:r>
    </w:p>
    <w:p w14:paraId="1242CCFF">
      <w:pPr>
        <w:pStyle w:val="30"/>
        <w:keepNext w:val="0"/>
        <w:keepLines w:val="0"/>
        <w:widowControl/>
        <w:numPr>
          <w:ilvl w:val="0"/>
          <w:numId w:val="59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数据质量达标</w:t>
      </w:r>
    </w:p>
    <w:p w14:paraId="6B7CF675">
      <w:pPr>
        <w:pStyle w:val="30"/>
        <w:keepNext w:val="0"/>
        <w:keepLines w:val="0"/>
        <w:widowControl/>
        <w:numPr>
          <w:ilvl w:val="0"/>
          <w:numId w:val="59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形成《胃肠外科 SRWS 内部实施指南》</w:t>
      </w:r>
    </w:p>
    <w:p w14:paraId="74F361E4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目标</w:t>
      </w:r>
      <w:r>
        <w:rPr>
          <w:rFonts w:hint="eastAsia" w:ascii="仿宋" w:hAnsi="仿宋" w:eastAsia="仿宋" w:cs="仿宋"/>
          <w:sz w:val="24"/>
          <w:szCs w:val="24"/>
        </w:rPr>
        <w:t>：建立“稳定、可信、可持续”的体系核心。</w:t>
      </w:r>
    </w:p>
    <w:p w14:paraId="3212D649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二、第二阶段：院内推广（Hospital-level Scaling）</w:t>
      </w:r>
    </w:p>
    <w:p w14:paraId="3037131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向全院临床科室推广 SRWS。</w:t>
      </w:r>
    </w:p>
    <w:p w14:paraId="2217F09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实施内容：</w:t>
      </w:r>
    </w:p>
    <w:p w14:paraId="09D13E2C">
      <w:pPr>
        <w:pStyle w:val="30"/>
        <w:keepNext w:val="0"/>
        <w:keepLines w:val="0"/>
        <w:widowControl/>
        <w:numPr>
          <w:ilvl w:val="0"/>
          <w:numId w:val="6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院级 SRWS 宣讲会</w:t>
      </w:r>
    </w:p>
    <w:p w14:paraId="19D6FAC3">
      <w:pPr>
        <w:pStyle w:val="30"/>
        <w:keepNext w:val="0"/>
        <w:keepLines w:val="0"/>
        <w:widowControl/>
        <w:numPr>
          <w:ilvl w:val="0"/>
          <w:numId w:val="6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工具包院级版本发布</w:t>
      </w:r>
    </w:p>
    <w:p w14:paraId="5F8CFDD4">
      <w:pPr>
        <w:pStyle w:val="30"/>
        <w:keepNext w:val="0"/>
        <w:keepLines w:val="0"/>
        <w:widowControl/>
        <w:numPr>
          <w:ilvl w:val="0"/>
          <w:numId w:val="6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选取 2–3 个科室开展试点</w:t>
      </w:r>
    </w:p>
    <w:p w14:paraId="3F14D53F">
      <w:pPr>
        <w:pStyle w:val="30"/>
        <w:keepNext w:val="0"/>
        <w:keepLines w:val="0"/>
        <w:widowControl/>
        <w:numPr>
          <w:ilvl w:val="0"/>
          <w:numId w:val="6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制定院级《SRWS 运行指南》</w:t>
      </w:r>
    </w:p>
    <w:p w14:paraId="34219BBF">
      <w:pPr>
        <w:pStyle w:val="30"/>
        <w:keepNext w:val="0"/>
        <w:keepLines w:val="0"/>
        <w:widowControl/>
        <w:numPr>
          <w:ilvl w:val="0"/>
          <w:numId w:val="6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纳入院级科研绩效体系</w:t>
      </w:r>
    </w:p>
    <w:p w14:paraId="059048B9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目标：</w:t>
      </w:r>
      <w:r>
        <w:rPr>
          <w:rFonts w:hint="eastAsia" w:ascii="仿宋" w:hAnsi="仿宋" w:eastAsia="仿宋" w:cs="仿宋"/>
          <w:sz w:val="24"/>
          <w:szCs w:val="24"/>
        </w:rPr>
        <w:t>形成全院统一科研标准。</w:t>
      </w:r>
    </w:p>
    <w:p w14:paraId="5AC4A87B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三、第三阶段：区域推广（Regional Dissemination）</w:t>
      </w:r>
    </w:p>
    <w:p w14:paraId="55E8D3C5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由医院牵头，面向盟市或自治区推广 SRWS。</w:t>
      </w:r>
    </w:p>
    <w:p w14:paraId="1F49D596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实施内容：</w:t>
      </w:r>
    </w:p>
    <w:p w14:paraId="7AE28C67">
      <w:pPr>
        <w:pStyle w:val="30"/>
        <w:keepNext w:val="0"/>
        <w:keepLines w:val="0"/>
        <w:widowControl/>
        <w:numPr>
          <w:ilvl w:val="0"/>
          <w:numId w:val="6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通过医师协会、医学会开展 SRWS 培训</w:t>
      </w:r>
    </w:p>
    <w:p w14:paraId="5F6FFFE8">
      <w:pPr>
        <w:pStyle w:val="30"/>
        <w:keepNext w:val="0"/>
        <w:keepLines w:val="0"/>
        <w:widowControl/>
        <w:numPr>
          <w:ilvl w:val="0"/>
          <w:numId w:val="6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发布《SRWS 区域示范点建设指南》</w:t>
      </w:r>
    </w:p>
    <w:p w14:paraId="4D67E49D">
      <w:pPr>
        <w:pStyle w:val="30"/>
        <w:keepNext w:val="0"/>
        <w:keepLines w:val="0"/>
        <w:widowControl/>
        <w:numPr>
          <w:ilvl w:val="0"/>
          <w:numId w:val="6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形成地区级科研能力提升示范</w:t>
      </w:r>
    </w:p>
    <w:p w14:paraId="5578C667">
      <w:pPr>
        <w:pStyle w:val="30"/>
        <w:keepNext w:val="0"/>
        <w:keepLines w:val="0"/>
        <w:widowControl/>
        <w:numPr>
          <w:ilvl w:val="0"/>
          <w:numId w:val="6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推动 SRWS 与区域医学中心、双向转诊中心合作</w:t>
      </w:r>
    </w:p>
    <w:p w14:paraId="5D3B9E96">
      <w:pPr>
        <w:pStyle w:val="30"/>
        <w:keepNext w:val="0"/>
        <w:keepLines w:val="0"/>
        <w:widowControl/>
        <w:numPr>
          <w:ilvl w:val="0"/>
          <w:numId w:val="61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形成区域版 SRWS 模板（可复制、可推广）</w:t>
      </w:r>
    </w:p>
    <w:p w14:paraId="132BF277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目标：构建蒙古高原地区的区域科研能力提升体系。</w:t>
      </w:r>
    </w:p>
    <w:p w14:paraId="2225063E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第四节 SRWS 外延拓展与跨领域应用</w:t>
      </w:r>
    </w:p>
    <w:p w14:paraId="0369DD03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不仅适用于临床研究，还可扩展至：</w:t>
      </w:r>
    </w:p>
    <w:p w14:paraId="230A02F1">
      <w:pPr>
        <w:pStyle w:val="30"/>
        <w:keepNext w:val="0"/>
        <w:keepLines w:val="0"/>
        <w:widowControl/>
        <w:numPr>
          <w:ilvl w:val="0"/>
          <w:numId w:val="6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医工交叉研发</w:t>
      </w:r>
      <w:r>
        <w:rPr>
          <w:rFonts w:hint="eastAsia" w:ascii="仿宋" w:hAnsi="仿宋" w:eastAsia="仿宋" w:cs="仿宋"/>
          <w:sz w:val="24"/>
          <w:szCs w:val="24"/>
        </w:rPr>
        <w:t>：包括腹腔镜机械臂、CETC装置、智能终端等。</w:t>
      </w:r>
    </w:p>
    <w:p w14:paraId="7DA585F7">
      <w:pPr>
        <w:pStyle w:val="30"/>
        <w:keepNext w:val="0"/>
        <w:keepLines w:val="0"/>
        <w:widowControl/>
        <w:numPr>
          <w:ilvl w:val="0"/>
          <w:numId w:val="6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AI/LLM 研究</w:t>
      </w:r>
      <w:r>
        <w:rPr>
          <w:rFonts w:hint="eastAsia" w:ascii="仿宋" w:hAnsi="仿宋" w:eastAsia="仿宋" w:cs="仿宋"/>
          <w:sz w:val="24"/>
          <w:szCs w:val="24"/>
        </w:rPr>
        <w:t>：SRWS 可作为“数据—验证—部署”的执行框架。</w:t>
      </w:r>
    </w:p>
    <w:p w14:paraId="1033509C">
      <w:pPr>
        <w:pStyle w:val="30"/>
        <w:keepNext w:val="0"/>
        <w:keepLines w:val="0"/>
        <w:widowControl/>
        <w:numPr>
          <w:ilvl w:val="0"/>
          <w:numId w:val="6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软科学研究</w:t>
      </w:r>
      <w:r>
        <w:rPr>
          <w:rFonts w:hint="eastAsia" w:ascii="仿宋" w:hAnsi="仿宋" w:eastAsia="仿宋" w:cs="仿宋"/>
          <w:sz w:val="24"/>
          <w:szCs w:val="24"/>
        </w:rPr>
        <w:t>：管理学、学科建设模型、DIO 模型等。</w:t>
      </w:r>
    </w:p>
    <w:p w14:paraId="43250824">
      <w:pPr>
        <w:pStyle w:val="30"/>
        <w:keepNext w:val="0"/>
        <w:keepLines w:val="0"/>
        <w:widowControl/>
        <w:numPr>
          <w:ilvl w:val="0"/>
          <w:numId w:val="62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教学科研融合</w:t>
      </w:r>
      <w:r>
        <w:rPr>
          <w:rFonts w:hint="eastAsia" w:ascii="仿宋" w:hAnsi="仿宋" w:eastAsia="仿宋" w:cs="仿宋"/>
          <w:sz w:val="24"/>
          <w:szCs w:val="24"/>
        </w:rPr>
        <w:t>：研究生培养体系、科研课程体系。</w:t>
      </w:r>
    </w:p>
    <w:p w14:paraId="1F624FBD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为医院建设“临床+工程+AI”的科研发展战略提供统一方法学底座。</w:t>
      </w:r>
    </w:p>
    <w:p w14:paraId="39B6E65F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第五节 SRWS 与医院高质量发展的结合</w:t>
      </w:r>
    </w:p>
    <w:p w14:paraId="2BA5A98B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 的建设将促进以下方面：</w:t>
      </w:r>
    </w:p>
    <w:p w14:paraId="1BD28712">
      <w:pPr>
        <w:pStyle w:val="30"/>
        <w:keepNext w:val="0"/>
        <w:keepLines w:val="0"/>
        <w:widowControl/>
        <w:numPr>
          <w:ilvl w:val="0"/>
          <w:numId w:val="6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科研能力跃升</w:t>
      </w:r>
      <w:r>
        <w:rPr>
          <w:rFonts w:hint="eastAsia" w:ascii="仿宋" w:hAnsi="仿宋" w:eastAsia="仿宋" w:cs="仿宋"/>
          <w:sz w:val="24"/>
          <w:szCs w:val="24"/>
        </w:rPr>
        <w:t>：由“个体经验型”转向“流程体系型”。</w:t>
      </w:r>
    </w:p>
    <w:p w14:paraId="2B32AFEB">
      <w:pPr>
        <w:pStyle w:val="30"/>
        <w:keepNext w:val="0"/>
        <w:keepLines w:val="0"/>
        <w:widowControl/>
        <w:numPr>
          <w:ilvl w:val="0"/>
          <w:numId w:val="6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学科建设提升</w:t>
      </w:r>
      <w:r>
        <w:rPr>
          <w:rFonts w:hint="eastAsia" w:ascii="仿宋" w:hAnsi="仿宋" w:eastAsia="仿宋" w:cs="仿宋"/>
          <w:sz w:val="24"/>
          <w:szCs w:val="24"/>
        </w:rPr>
        <w:t>：形成科研主线，支撑 DIDTS、ERAS、PRI 等体系。</w:t>
      </w:r>
    </w:p>
    <w:p w14:paraId="6AF76638">
      <w:pPr>
        <w:pStyle w:val="30"/>
        <w:keepNext w:val="0"/>
        <w:keepLines w:val="0"/>
        <w:widowControl/>
        <w:numPr>
          <w:ilvl w:val="0"/>
          <w:numId w:val="6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科研产出翻倍增长</w:t>
      </w:r>
      <w:r>
        <w:rPr>
          <w:rFonts w:hint="eastAsia" w:ascii="仿宋" w:hAnsi="仿宋" w:eastAsia="仿宋" w:cs="仿宋"/>
          <w:sz w:val="24"/>
          <w:szCs w:val="24"/>
        </w:rPr>
        <w:t>：论文、专利、项目申报显著增加。</w:t>
      </w:r>
    </w:p>
    <w:p w14:paraId="1DC67710">
      <w:pPr>
        <w:pStyle w:val="30"/>
        <w:keepNext w:val="0"/>
        <w:keepLines w:val="0"/>
        <w:widowControl/>
        <w:numPr>
          <w:ilvl w:val="0"/>
          <w:numId w:val="6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人才梯队建设</w:t>
      </w:r>
      <w:r>
        <w:rPr>
          <w:rFonts w:hint="eastAsia" w:ascii="仿宋" w:hAnsi="仿宋" w:eastAsia="仿宋" w:cs="仿宋"/>
          <w:sz w:val="24"/>
          <w:szCs w:val="24"/>
        </w:rPr>
        <w:t>：形成从住培到PI的全链条科研人才体系。</w:t>
      </w:r>
    </w:p>
    <w:p w14:paraId="22CF8E39">
      <w:pPr>
        <w:pStyle w:val="30"/>
        <w:keepNext w:val="0"/>
        <w:keepLines w:val="0"/>
        <w:widowControl/>
        <w:numPr>
          <w:ilvl w:val="0"/>
          <w:numId w:val="63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区域医学中心建设</w:t>
      </w:r>
      <w:r>
        <w:rPr>
          <w:rFonts w:hint="eastAsia" w:ascii="仿宋" w:hAnsi="仿宋" w:eastAsia="仿宋" w:cs="仿宋"/>
          <w:sz w:val="24"/>
          <w:szCs w:val="24"/>
        </w:rPr>
        <w:t>：形成区域科研质量控制平台。</w:t>
      </w:r>
    </w:p>
    <w:p w14:paraId="500FD12E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最终推动医院迈入“体系化科研能力建设”的高质量发展轨道。</w:t>
      </w:r>
    </w:p>
    <w:p w14:paraId="69154C33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</w:rPr>
        <w:t>第六节 SRWS 持续发展战略（2026–2030）</w:t>
      </w:r>
    </w:p>
    <w:p w14:paraId="3D5491E8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未来发展路线包括：</w:t>
      </w:r>
    </w:p>
    <w:p w14:paraId="2C0F3EB1">
      <w:pPr>
        <w:pStyle w:val="30"/>
        <w:keepNext w:val="0"/>
        <w:keepLines w:val="0"/>
        <w:widowControl/>
        <w:numPr>
          <w:ilvl w:val="0"/>
          <w:numId w:val="6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SRWS 与 C-EMR 深度融合</w:t>
      </w:r>
    </w:p>
    <w:p w14:paraId="6078D731">
      <w:pPr>
        <w:pStyle w:val="30"/>
        <w:keepNext w:val="0"/>
        <w:keepLines w:val="0"/>
        <w:widowControl/>
        <w:numPr>
          <w:ilvl w:val="0"/>
          <w:numId w:val="6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数据采集自动化</w:t>
      </w:r>
    </w:p>
    <w:p w14:paraId="62F79040">
      <w:pPr>
        <w:pStyle w:val="30"/>
        <w:keepNext w:val="0"/>
        <w:keepLines w:val="0"/>
        <w:widowControl/>
        <w:numPr>
          <w:ilvl w:val="0"/>
          <w:numId w:val="6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智能统计</w:t>
      </w:r>
    </w:p>
    <w:p w14:paraId="39593877">
      <w:pPr>
        <w:pStyle w:val="30"/>
        <w:keepNext w:val="0"/>
        <w:keepLines w:val="0"/>
        <w:widowControl/>
        <w:numPr>
          <w:ilvl w:val="0"/>
          <w:numId w:val="65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AI 辅助写作</w:t>
      </w:r>
    </w:p>
    <w:p w14:paraId="75FB8E83">
      <w:pPr>
        <w:pStyle w:val="30"/>
        <w:keepNext w:val="0"/>
        <w:keepLines w:val="0"/>
        <w:widowControl/>
        <w:numPr>
          <w:ilvl w:val="0"/>
          <w:numId w:val="6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建立 SRWS 中心（院级）</w:t>
      </w:r>
    </w:p>
    <w:p w14:paraId="691FB38A">
      <w:pPr>
        <w:pStyle w:val="30"/>
        <w:keepNext w:val="0"/>
        <w:keepLines w:val="0"/>
        <w:widowControl/>
        <w:numPr>
          <w:ilvl w:val="0"/>
          <w:numId w:val="66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作为科研培训、工具包研发、数据质量审核中心</w:t>
      </w:r>
    </w:p>
    <w:p w14:paraId="24A74514">
      <w:pPr>
        <w:pStyle w:val="30"/>
        <w:keepNext w:val="0"/>
        <w:keepLines w:val="0"/>
        <w:widowControl/>
        <w:numPr>
          <w:ilvl w:val="0"/>
          <w:numId w:val="6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推动 SRWS 标准成为盟市或自治区科研规范</w:t>
      </w:r>
    </w:p>
    <w:p w14:paraId="64145C40">
      <w:pPr>
        <w:pStyle w:val="30"/>
        <w:keepNext w:val="0"/>
        <w:keepLines w:val="0"/>
        <w:widowControl/>
        <w:numPr>
          <w:ilvl w:val="0"/>
          <w:numId w:val="6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形成“巴彦淖尔标准”</w:t>
      </w:r>
    </w:p>
    <w:p w14:paraId="482C385E">
      <w:pPr>
        <w:pStyle w:val="30"/>
        <w:keepNext w:val="0"/>
        <w:keepLines w:val="0"/>
        <w:widowControl/>
        <w:numPr>
          <w:ilvl w:val="0"/>
          <w:numId w:val="67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向自治区医师协会、科技厅推广</w:t>
      </w:r>
    </w:p>
    <w:p w14:paraId="3D247A1F">
      <w:pPr>
        <w:pStyle w:val="30"/>
        <w:keepNext w:val="0"/>
        <w:keepLines w:val="0"/>
        <w:widowControl/>
        <w:numPr>
          <w:ilvl w:val="0"/>
          <w:numId w:val="6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年度工具包与制度持续升级</w:t>
      </w:r>
    </w:p>
    <w:p w14:paraId="1A4068F5">
      <w:pPr>
        <w:pStyle w:val="30"/>
        <w:keepNext w:val="0"/>
        <w:keepLines w:val="0"/>
        <w:widowControl/>
        <w:numPr>
          <w:ilvl w:val="0"/>
          <w:numId w:val="68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每年形成新版 SRWS</w:t>
      </w:r>
    </w:p>
    <w:p w14:paraId="4F076E27">
      <w:pPr>
        <w:pStyle w:val="30"/>
        <w:keepNext w:val="0"/>
        <w:keepLines w:val="0"/>
        <w:widowControl/>
        <w:numPr>
          <w:ilvl w:val="0"/>
          <w:numId w:val="64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sz w:val="24"/>
          <w:szCs w:val="24"/>
        </w:rPr>
        <w:t>构建 SRWS 数字化平台</w:t>
      </w:r>
    </w:p>
    <w:p w14:paraId="73020491">
      <w:pPr>
        <w:pStyle w:val="30"/>
        <w:keepNext w:val="0"/>
        <w:keepLines w:val="0"/>
        <w:widowControl/>
        <w:numPr>
          <w:ilvl w:val="0"/>
          <w:numId w:val="6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SRWS-Online（LMS + Workflow Engine）</w:t>
      </w:r>
    </w:p>
    <w:p w14:paraId="5A53C10C">
      <w:pPr>
        <w:pStyle w:val="30"/>
        <w:keepNext w:val="0"/>
        <w:keepLines w:val="0"/>
        <w:widowControl/>
        <w:numPr>
          <w:ilvl w:val="0"/>
          <w:numId w:val="6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与医院信息系统对接</w:t>
      </w:r>
    </w:p>
    <w:p w14:paraId="1469C67C">
      <w:pPr>
        <w:pStyle w:val="30"/>
        <w:keepNext w:val="0"/>
        <w:keepLines w:val="0"/>
        <w:widowControl/>
        <w:numPr>
          <w:ilvl w:val="0"/>
          <w:numId w:val="69"/>
        </w:numPr>
        <w:suppressLineNumbers w:val="0"/>
        <w:ind w:left="420" w:leftChars="0" w:hanging="420" w:firstLineChars="0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</w:rPr>
        <w:t>实现数字化科研管理</w:t>
      </w:r>
    </w:p>
    <w:p w14:paraId="4B09B9C0">
      <w:pPr>
        <w:bidi w:val="0"/>
        <w:rPr>
          <w:rFonts w:hint="eastAsia" w:ascii="仿宋" w:hAnsi="仿宋" w:eastAsia="仿宋" w:cs="仿宋"/>
          <w:sz w:val="24"/>
          <w:szCs w:val="24"/>
        </w:rPr>
      </w:pPr>
      <w:r>
        <w:rPr>
          <w:rStyle w:val="134"/>
          <w:rFonts w:hint="eastAsia" w:ascii="仿宋" w:hAnsi="仿宋" w:eastAsia="仿宋" w:cs="仿宋"/>
          <w:b/>
          <w:bCs w:val="0"/>
          <w:sz w:val="24"/>
          <w:szCs w:val="24"/>
        </w:rPr>
        <w:t>本章总结</w:t>
      </w:r>
    </w:p>
    <w:p w14:paraId="23E60B52">
      <w:pPr>
        <w:pStyle w:val="30"/>
        <w:keepNext w:val="0"/>
        <w:keepLines w:val="0"/>
        <w:widowControl/>
        <w:suppressLineNumbers w:val="0"/>
        <w:rPr>
          <w:rFonts w:hint="eastAsia" w:ascii="仿宋" w:hAnsi="仿宋" w:eastAsia="仿宋" w:cs="仿宋"/>
          <w:b/>
          <w:bCs/>
          <w:color w:val="4F81BD" w:themeColor="accent1"/>
          <w:sz w:val="24"/>
          <w:szCs w:val="24"/>
          <w:lang w:val="en-US" w:eastAsia="en-US" w:bidi="ar-SA"/>
          <w14:textFill>
            <w14:solidFill>
              <w14:schemeClr w14:val="accent1"/>
            </w14:solidFill>
          </w14:textFill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　　</w:t>
      </w:r>
      <w:r>
        <w:rPr>
          <w:rFonts w:hint="eastAsia" w:ascii="仿宋" w:hAnsi="仿宋" w:eastAsia="仿宋" w:cs="仿宋"/>
          <w:sz w:val="24"/>
          <w:szCs w:val="24"/>
        </w:rPr>
        <w:t>SRWS 是医院科研进入“体系化时代”的基准线。本章通过建立结构–过程–结果三维评价体系，结合量化验证、风险控制、推广机制和未来发展战略，为 SRWS 的长期运行奠定科学、规范、可扩展的根基。</w:t>
      </w:r>
    </w:p>
    <w:p w14:paraId="64E3ED0A">
      <w:pPr>
        <w:pStyle w:val="4"/>
        <w:numPr>
          <w:ilvl w:val="0"/>
          <w:numId w:val="0"/>
        </w:numPr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b/>
          <w:bCs/>
          <w:color w:val="4F81BD" w:themeColor="accent1"/>
          <w:sz w:val="28"/>
          <w:szCs w:val="28"/>
          <w:lang w:val="en-US" w:eastAsia="en-US" w:bidi="ar-SA"/>
          <w14:textFill>
            <w14:solidFill>
              <w14:schemeClr w14:val="accent1"/>
            </w14:solidFill>
          </w14:textFill>
        </w:rPr>
        <w:t>第</w:t>
      </w:r>
      <w:r>
        <w:rPr>
          <w:rFonts w:hint="eastAsia" w:ascii="黑体" w:hAnsi="黑体" w:eastAsia="黑体" w:cs="黑体"/>
          <w:b/>
          <w:bCs/>
          <w:color w:val="4F81BD" w:themeColor="accent1"/>
          <w:sz w:val="28"/>
          <w:szCs w:val="28"/>
          <w:lang w:val="en-US" w:eastAsia="zh-CN" w:bidi="ar-SA"/>
          <w14:textFill>
            <w14:solidFill>
              <w14:schemeClr w14:val="accent1"/>
            </w14:solidFill>
          </w14:textFill>
        </w:rPr>
        <w:t>十</w:t>
      </w:r>
      <w:r>
        <w:rPr>
          <w:rFonts w:hint="eastAsia" w:ascii="黑体" w:hAnsi="黑体" w:eastAsia="黑体" w:cs="黑体"/>
          <w:b/>
          <w:bCs/>
          <w:color w:val="4F81BD" w:themeColor="accent1"/>
          <w:sz w:val="28"/>
          <w:szCs w:val="28"/>
          <w:lang w:val="en-US" w:eastAsia="en-US" w:bidi="ar-SA"/>
          <w14:textFill>
            <w14:solidFill>
              <w14:schemeClr w14:val="accent1"/>
            </w14:solidFill>
          </w14:textFill>
        </w:rPr>
        <w:t>章</w:t>
      </w:r>
      <w:r>
        <w:rPr>
          <w:rFonts w:hint="eastAsia" w:ascii="黑体" w:hAnsi="黑体" w:eastAsia="黑体" w:cs="黑体"/>
          <w:b/>
          <w:bCs/>
          <w:color w:val="4F81BD" w:themeColor="accent1"/>
          <w:sz w:val="28"/>
          <w:szCs w:val="28"/>
          <w:lang w:val="en-US" w:eastAsia="zh-CN" w:bidi="ar-SA"/>
          <w14:textFill>
            <w14:solidFill>
              <w14:schemeClr w14:val="accent1"/>
            </w14:solidFill>
          </w14:textFill>
        </w:rPr>
        <w:t xml:space="preserve">  </w:t>
      </w:r>
      <w:r>
        <w:rPr>
          <w:rFonts w:hint="eastAsia" w:ascii="黑体" w:hAnsi="黑体" w:eastAsia="黑体" w:cs="黑体"/>
          <w:sz w:val="28"/>
          <w:szCs w:val="28"/>
        </w:rPr>
        <w:t>附件体系</w:t>
      </w:r>
    </w:p>
    <w:p w14:paraId="0E7AA8EA">
      <w:pPr>
        <w:pStyle w:val="4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（一）流程类附件</w:t>
      </w:r>
    </w:p>
    <w:p w14:paraId="677ADE6A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4"/>
          <w:szCs w:val="24"/>
        </w:rPr>
        <w:t>SRWS</w:t>
      </w:r>
      <w:r>
        <w:rPr>
          <w:rStyle w:val="134"/>
          <w:rFonts w:hint="eastAsia" w:ascii="仿宋" w:hAnsi="仿宋" w:eastAsia="仿宋" w:cs="仿宋"/>
        </w:rPr>
        <w:t xml:space="preserve"> 全流程图（Flowchart）</w:t>
      </w:r>
    </w:p>
    <w:p w14:paraId="66007803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</w:rPr>
      </w:pPr>
      <w:r>
        <w:rPr>
          <w:rStyle w:val="134"/>
          <w:rFonts w:hint="eastAsia" w:ascii="仿宋" w:hAnsi="仿宋" w:eastAsia="仿宋" w:cs="仿宋"/>
        </w:rPr>
        <w:t>DIDTS 数据流与数据治理流程图</w:t>
      </w:r>
    </w:p>
    <w:p w14:paraId="779DBA76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</w:rPr>
      </w:pPr>
      <w:r>
        <w:rPr>
          <w:rStyle w:val="134"/>
          <w:rFonts w:hint="eastAsia" w:ascii="仿宋" w:hAnsi="仿宋" w:eastAsia="仿宋" w:cs="仿宋"/>
        </w:rPr>
        <w:t>两轮 Delphi 法 + 专家会议 + 现场演示讨论会</w:t>
      </w:r>
    </w:p>
    <w:p w14:paraId="2CEB3EEA">
      <w:pPr>
        <w:pStyle w:val="4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（二）模板类附件（必须完成）</w:t>
      </w:r>
    </w:p>
    <w:p w14:paraId="652AC16E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</w:rPr>
      </w:pPr>
      <w:r>
        <w:rPr>
          <w:rStyle w:val="134"/>
          <w:rFonts w:hint="eastAsia" w:ascii="仿宋" w:hAnsi="仿宋" w:eastAsia="仿宋" w:cs="仿宋"/>
        </w:rPr>
        <w:t>Protocol 模板（RWS/RCT/工程/AI 四个版本）</w:t>
      </w:r>
    </w:p>
    <w:p w14:paraId="248D5318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</w:rPr>
      </w:pPr>
      <w:r>
        <w:rPr>
          <w:rStyle w:val="134"/>
          <w:rFonts w:hint="eastAsia" w:ascii="仿宋" w:hAnsi="仿宋" w:eastAsia="仿宋" w:cs="仿宋"/>
        </w:rPr>
        <w:t>统计分析计划（SAP）模板</w:t>
      </w:r>
    </w:p>
    <w:p w14:paraId="3F8E07F7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</w:rPr>
      </w:pPr>
      <w:r>
        <w:rPr>
          <w:rStyle w:val="134"/>
          <w:rFonts w:hint="eastAsia" w:ascii="仿宋" w:hAnsi="仿宋" w:eastAsia="仿宋" w:cs="仿宋"/>
        </w:rPr>
        <w:t>CRF 模板（RWS/工程/AI 三套）</w:t>
      </w:r>
    </w:p>
    <w:p w14:paraId="16AAF0BD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</w:rPr>
      </w:pPr>
      <w:r>
        <w:rPr>
          <w:rStyle w:val="134"/>
          <w:rFonts w:hint="eastAsia" w:ascii="仿宋" w:hAnsi="仿宋" w:eastAsia="仿宋" w:cs="仿宋"/>
        </w:rPr>
        <w:t>数据字典模板</w:t>
      </w:r>
    </w:p>
    <w:p w14:paraId="6E25B72C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</w:rPr>
      </w:pPr>
      <w:r>
        <w:rPr>
          <w:rStyle w:val="134"/>
          <w:rFonts w:hint="eastAsia" w:ascii="仿宋" w:hAnsi="仿宋" w:eastAsia="仿宋" w:cs="仿宋"/>
        </w:rPr>
        <w:t>Manuscript Skeleton 模板（结构化摘要+结果Table Shell）</w:t>
      </w:r>
    </w:p>
    <w:p w14:paraId="5BED66C7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</w:rPr>
      </w:pPr>
      <w:r>
        <w:rPr>
          <w:rStyle w:val="134"/>
          <w:rFonts w:hint="eastAsia" w:ascii="仿宋" w:hAnsi="仿宋" w:eastAsia="仿宋" w:cs="仿宋"/>
        </w:rPr>
        <w:t>Early-stage IP Mapping 模板（含 Patent Landscaping 表格）</w:t>
      </w:r>
    </w:p>
    <w:p w14:paraId="1CB457FC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</w:rPr>
      </w:pPr>
      <w:r>
        <w:rPr>
          <w:rStyle w:val="134"/>
          <w:rFonts w:hint="eastAsia" w:ascii="仿宋" w:hAnsi="仿宋" w:eastAsia="仿宋" w:cs="仿宋"/>
        </w:rPr>
        <w:t>中期评估表格</w:t>
      </w:r>
    </w:p>
    <w:p w14:paraId="44628D6F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</w:rPr>
      </w:pPr>
      <w:r>
        <w:rPr>
          <w:rStyle w:val="134"/>
          <w:rFonts w:hint="eastAsia" w:ascii="仿宋" w:hAnsi="仿宋" w:eastAsia="仿宋" w:cs="仿宋"/>
        </w:rPr>
        <w:t>结题验收表格</w:t>
      </w:r>
    </w:p>
    <w:p w14:paraId="4D271448">
      <w:pPr>
        <w:pStyle w:val="4"/>
        <w:keepNext w:val="0"/>
        <w:keepLines w:val="0"/>
        <w:widowControl/>
        <w:suppressLineNumbers w:val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</w:rPr>
        <w:t>（三）操作类附件</w:t>
      </w:r>
    </w:p>
    <w:p w14:paraId="692EC7E0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角色与责任矩阵（RACI）</w:t>
      </w:r>
    </w:p>
    <w:p w14:paraId="4AAD0DD3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文献检索规范（含数据库、关键词组合）</w:t>
      </w:r>
    </w:p>
    <w:p w14:paraId="3FA403E8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数据质量核查（DQC）SOP</w:t>
      </w:r>
    </w:p>
    <w:p w14:paraId="5EA47F2A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随访流程 SOP</w:t>
      </w:r>
    </w:p>
    <w:p w14:paraId="0D612CA5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多中心研究数据对接指南</w:t>
      </w:r>
    </w:p>
    <w:p w14:paraId="245B20C5">
      <w:pPr>
        <w:pStyle w:val="30"/>
        <w:keepNext w:val="0"/>
        <w:keepLines w:val="0"/>
        <w:widowControl/>
        <w:numPr>
          <w:ilvl w:val="0"/>
          <w:numId w:val="70"/>
        </w:numPr>
        <w:suppressLineNumbers w:val="0"/>
        <w:ind w:left="425" w:leftChars="0" w:hanging="425" w:firstLineChars="0"/>
        <w:rPr>
          <w:rFonts w:hint="eastAsia" w:ascii="仿宋" w:hAnsi="仿宋" w:eastAsia="仿宋" w:cs="仿宋"/>
          <w:b/>
          <w:bCs/>
        </w:rPr>
      </w:pPr>
      <w:r>
        <w:rPr>
          <w:rFonts w:hint="eastAsia" w:ascii="仿宋" w:hAnsi="仿宋" w:eastAsia="仿宋" w:cs="仿宋"/>
          <w:b/>
          <w:bCs/>
        </w:rPr>
        <w:t>伦理申请模板（含知情同意书）</w:t>
      </w:r>
    </w:p>
    <w:p w14:paraId="670AFE34">
      <w:pPr>
        <w:pStyle w:val="4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>第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十一</w:t>
      </w:r>
      <w:r>
        <w:rPr>
          <w:rFonts w:hint="eastAsia" w:ascii="黑体" w:hAnsi="黑体" w:eastAsia="黑体" w:cs="黑体"/>
          <w:sz w:val="28"/>
          <w:szCs w:val="28"/>
        </w:rPr>
        <w:t>章 附则</w:t>
      </w:r>
    </w:p>
    <w:p w14:paraId="06367589">
      <w:pPr>
        <w:pStyle w:val="165"/>
        <w:ind w:firstLine="480" w:firstLineChars="200"/>
        <w:rPr>
          <w:rFonts w:hint="eastAsia" w:ascii="仿宋" w:hAnsi="仿宋" w:eastAsia="仿宋" w:cs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t>本方案自发布之日起执行，由科研生产线总控委员会负责解释，并根据项目运行情况每年进行一次修订。</w:t>
      </w:r>
    </w:p>
    <w:p w14:paraId="0F7328BF">
      <w:pPr>
        <w:pStyle w:val="7"/>
        <w:rPr>
          <w:rFonts w:hint="eastAsia"/>
        </w:rPr>
      </w:pPr>
    </w:p>
    <w:bookmarkEnd w:id="0"/>
    <w:bookmarkEnd w:id="4"/>
    <w:p w14:paraId="7087BDBA">
      <w:pPr>
        <w:jc w:val="right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2025.11.25</w:t>
      </w:r>
    </w:p>
    <w:p w14:paraId="696AB658">
      <w:pPr>
        <w:pStyle w:val="4"/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</w:t>
      </w:r>
    </w:p>
    <w:p w14:paraId="4CE9568A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附件1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SRWS</w:t>
      </w:r>
      <w:r>
        <w:rPr>
          <w:rFonts w:hint="eastAsia" w:ascii="黑体" w:hAnsi="黑体" w:eastAsia="黑体" w:cs="黑体"/>
        </w:rPr>
        <w:t xml:space="preserve"> 全流程图（Flowchart）</w:t>
      </w:r>
    </w:p>
    <w:p w14:paraId="623E49D3">
      <w:pPr>
        <w:pStyle w:val="168"/>
        <w:rPr>
          <w:rFonts w:hint="eastAsia" w:ascii="仿宋" w:hAnsi="仿宋" w:eastAsia="仿宋" w:cs="仿宋"/>
        </w:rPr>
      </w:pPr>
      <w:r>
        <w:rPr>
          <w:rStyle w:val="169"/>
          <w:rFonts w:hint="eastAsia" w:ascii="仿宋" w:hAnsi="仿宋" w:eastAsia="仿宋" w:cs="仿宋"/>
        </w:rPr>
        <w:t xml:space="preserve">               </w:t>
      </w:r>
      <w:r>
        <w:rPr>
          <w:rStyle w:val="169"/>
          <w:rFonts w:hint="eastAsia" w:ascii="楷体" w:hAnsi="楷体" w:eastAsia="楷体" w:cs="楷体"/>
        </w:rPr>
        <w:t xml:space="preserve">  项目提出（PI）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               |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               v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      【T0 启动会召开】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------------------------------------------------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|                  |                |          |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Protocol V0.9    初版CRF+数据字典   流程图V0.9   文献检索框架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------------------------------------------------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               |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               v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SRWS</w:t>
      </w:r>
      <w:r>
        <w:rPr>
          <w:rStyle w:val="169"/>
          <w:rFonts w:hint="eastAsia" w:ascii="楷体" w:hAnsi="楷体" w:eastAsia="楷体" w:cs="楷体"/>
        </w:rPr>
        <w:t>-SC 审核（Protocol/CRF/流程图）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               |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    审核通过？ —— 否 ——&gt; 退回修改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               |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              是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               v</w:t>
      </w:r>
      <w:r>
        <w:rPr>
          <w:rFonts w:hint="eastAsia" w:ascii="仿宋" w:hAnsi="仿宋" w:eastAsia="仿宋" w:cs="仿宋"/>
        </w:rPr>
        <w:br w:type="textWrapping"/>
      </w:r>
      <w:r>
        <w:rPr>
          <w:rStyle w:val="169"/>
          <w:rFonts w:hint="eastAsia" w:ascii="仿宋" w:hAnsi="仿宋" w:eastAsia="仿宋" w:cs="仿宋"/>
        </w:rPr>
        <w:t xml:space="preserve">                进入前置化阶段</w:t>
      </w:r>
    </w:p>
    <w:p w14:paraId="08961ADE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附件2 </w:t>
      </w:r>
      <w:r>
        <w:rPr>
          <w:rFonts w:hint="eastAsia" w:ascii="黑体" w:hAnsi="黑体" w:eastAsia="黑体" w:cs="黑体"/>
        </w:rPr>
        <w:t>DIDTS 数据流与数据治理流程图</w:t>
      </w:r>
    </w:p>
    <w:p w14:paraId="74FB7106">
      <w:pPr>
        <w:pStyle w:val="30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Fonts w:hint="eastAsia" w:ascii="楷体" w:hAnsi="楷体" w:eastAsia="楷体" w:cs="楷体"/>
          <w:color w:val="auto"/>
        </w:rPr>
      </w:pPr>
      <w:r>
        <w:rPr>
          <w:rStyle w:val="169"/>
          <w:rFonts w:hint="eastAsia" w:ascii="楷体" w:hAnsi="楷体" w:eastAsia="楷体" w:cs="楷体"/>
          <w:color w:val="0070C0"/>
        </w:rPr>
        <w:t xml:space="preserve"> </w:t>
      </w:r>
      <w:r>
        <w:rPr>
          <w:rStyle w:val="169"/>
          <w:rFonts w:hint="eastAsia" w:ascii="楷体" w:hAnsi="楷体" w:eastAsia="楷体" w:cs="楷体"/>
          <w:color w:val="0070C0"/>
          <w:lang w:val="en-US" w:eastAsia="zh-CN"/>
        </w:rPr>
        <w:t xml:space="preserve">         </w:t>
      </w:r>
      <w:r>
        <w:rPr>
          <w:rStyle w:val="169"/>
          <w:rFonts w:hint="eastAsia" w:ascii="楷体" w:hAnsi="楷体" w:eastAsia="楷体" w:cs="楷体"/>
          <w:color w:val="auto"/>
          <w:lang w:val="en-US" w:eastAsia="zh-CN"/>
        </w:rPr>
        <w:t xml:space="preserve">   </w:t>
      </w:r>
      <w:r>
        <w:rPr>
          <w:rStyle w:val="169"/>
          <w:rFonts w:hint="eastAsia" w:ascii="楷体" w:hAnsi="楷体" w:eastAsia="楷体" w:cs="楷体"/>
          <w:color w:val="auto"/>
        </w:rPr>
        <w:t>研究对象/病例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|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v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原始数据采集（CRF）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|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v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数据录入 → DIDTS 数据库链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|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v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数据管理员执行一致性检查（QC1）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|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不一致？——纠正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|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v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科研助理执行字段核查（QC2）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|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缺失&gt;5%？——预警+补录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|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v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数据管理员执行终审（QC3）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|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v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生成锁库数据集（Lock）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|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              v</w:t>
      </w:r>
      <w:r>
        <w:rPr>
          <w:rFonts w:hint="eastAsia" w:ascii="楷体" w:hAnsi="楷体" w:eastAsia="楷体" w:cs="楷体"/>
          <w:color w:val="auto"/>
        </w:rPr>
        <w:br w:type="textWrapping"/>
      </w:r>
      <w:r>
        <w:rPr>
          <w:rStyle w:val="169"/>
          <w:rFonts w:hint="eastAsia" w:ascii="楷体" w:hAnsi="楷体" w:eastAsia="楷体" w:cs="楷体"/>
          <w:color w:val="auto"/>
        </w:rPr>
        <w:t xml:space="preserve">      导出分析数据集（ADS）→ 统计分析</w:t>
      </w:r>
    </w:p>
    <w:p w14:paraId="1E0DCEF1">
      <w:pPr>
        <w:pStyle w:val="5"/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附件3 两轮 Delphi 法 + 专家会议 + 现场演示讨论会</w:t>
      </w:r>
    </w:p>
    <w:p w14:paraId="4F94E0BA">
      <w:pPr>
        <w:bidi w:val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>　</w:t>
      </w:r>
      <w:r>
        <w:rPr>
          <w:rFonts w:hint="eastAsia" w:ascii="楷体" w:hAnsi="楷体" w:eastAsia="楷体" w:cs="楷体"/>
          <w:lang w:val="en-US" w:eastAsia="zh-CN"/>
        </w:rPr>
        <w:t>　本项目作为典型的“科研全流程标准化体系构建研究”，采用国际通用的共识形成流程，包括两轮 Delphi 专家咨询、一次专家咨询会议及一次现场流程演示讨论会，以确保体系的科学性、可行性和区域可推广性。</w:t>
      </w:r>
    </w:p>
    <w:p w14:paraId="0381B180">
      <w:pPr>
        <w:bidi w:val="0"/>
        <w:rPr>
          <w:rFonts w:hint="eastAsia" w:ascii="楷体" w:hAnsi="楷体" w:eastAsia="楷体" w:cs="楷体"/>
          <w:b/>
          <w:bCs/>
          <w:i w:val="0"/>
          <w:iCs w:val="0"/>
          <w:lang w:val="en-US" w:eastAsia="zh-CN"/>
        </w:rPr>
      </w:pPr>
      <w:r>
        <w:rPr>
          <w:rFonts w:hint="eastAsia" w:ascii="楷体" w:hAnsi="楷体" w:eastAsia="楷体" w:cs="楷体"/>
          <w:b/>
          <w:bCs/>
          <w:i w:val="0"/>
          <w:iCs w:val="0"/>
          <w:lang w:val="en-US" w:eastAsia="zh-CN"/>
        </w:rPr>
        <w:t>1. Delphi 专家组构成</w:t>
      </w:r>
    </w:p>
    <w:p w14:paraId="2CB2BEFA">
      <w:pPr>
        <w:bidi w:val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选取 15–20 名专家，涵盖：</w:t>
      </w:r>
    </w:p>
    <w:p w14:paraId="35F36771">
      <w:pPr>
        <w:bidi w:val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胃肠外科临床专家、临床研究方法学专家、统计学专家、科研管理专家。</w:t>
      </w:r>
    </w:p>
    <w:p w14:paraId="73D63744">
      <w:pPr>
        <w:bidi w:val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专家均具备副主任医师（含）以上或研究经验丰富者。</w:t>
      </w:r>
    </w:p>
    <w:p w14:paraId="2BDE0155">
      <w:pPr>
        <w:bidi w:val="0"/>
        <w:rPr>
          <w:rFonts w:hint="eastAsia" w:ascii="楷体" w:hAnsi="楷体" w:eastAsia="楷体" w:cs="楷体"/>
          <w:b/>
          <w:bCs/>
          <w:lang w:val="en-US" w:eastAsia="zh-CN"/>
        </w:rPr>
      </w:pPr>
      <w:r>
        <w:rPr>
          <w:rFonts w:hint="eastAsia" w:ascii="楷体" w:hAnsi="楷体" w:eastAsia="楷体" w:cs="楷体"/>
          <w:b/>
          <w:bCs/>
          <w:lang w:val="en-US" w:eastAsia="zh-CN"/>
        </w:rPr>
        <w:t>2. Delphi 第一轮</w:t>
      </w:r>
    </w:p>
    <w:p w14:paraId="53E2C5DB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采用匿名问卷</w:t>
      </w:r>
    </w:p>
    <w:p w14:paraId="426611B3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对“科研全流程体系”中的 6 大模块、18 个条目、42 个标准化子项进行 Likert 5 分评分</w:t>
      </w:r>
    </w:p>
    <w:p w14:paraId="0BBFE5CA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收集开放性意见</w:t>
      </w:r>
    </w:p>
    <w:p w14:paraId="7340432B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形成第一轮专家一致性分析（目标一致性≥70%）</w:t>
      </w:r>
    </w:p>
    <w:p w14:paraId="0ECAA050">
      <w:pPr>
        <w:bidi w:val="0"/>
        <w:rPr>
          <w:rFonts w:hint="eastAsia" w:ascii="楷体" w:hAnsi="楷体" w:eastAsia="楷体" w:cs="楷体"/>
          <w:b/>
          <w:bCs/>
          <w:lang w:val="en-US" w:eastAsia="zh-CN"/>
        </w:rPr>
      </w:pPr>
      <w:r>
        <w:rPr>
          <w:rFonts w:hint="eastAsia" w:ascii="楷体" w:hAnsi="楷体" w:eastAsia="楷体" w:cs="楷体"/>
          <w:b/>
          <w:bCs/>
          <w:lang w:val="en-US" w:eastAsia="zh-CN"/>
        </w:rPr>
        <w:t>3. Delphi 第二轮</w:t>
      </w:r>
    </w:p>
    <w:p w14:paraId="5DEFB4A4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根据第一轮结果修订条目</w:t>
      </w:r>
    </w:p>
    <w:p w14:paraId="2E6F6B34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专家再次评分</w:t>
      </w:r>
    </w:p>
    <w:p w14:paraId="394ED1AC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根据变异系数（CV）、专家权威系数（Cr）及 Kendall 协调系数（W）判定共识</w:t>
      </w:r>
    </w:p>
    <w:p w14:paraId="1517B316">
      <w:pPr>
        <w:bidi w:val="0"/>
        <w:rPr>
          <w:rFonts w:hint="eastAsia" w:ascii="楷体" w:hAnsi="楷体" w:eastAsia="楷体" w:cs="楷体"/>
          <w:b/>
          <w:bCs/>
          <w:lang w:val="en-US" w:eastAsia="zh-CN"/>
        </w:rPr>
      </w:pPr>
      <w:r>
        <w:rPr>
          <w:rFonts w:hint="eastAsia" w:ascii="楷体" w:hAnsi="楷体" w:eastAsia="楷体" w:cs="楷体"/>
          <w:b/>
          <w:bCs/>
          <w:lang w:val="en-US" w:eastAsia="zh-CN"/>
        </w:rPr>
        <w:t>4. 专家咨询会议</w:t>
      </w:r>
    </w:p>
    <w:p w14:paraId="69E5933A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汇报 Delphi 结果</w:t>
      </w:r>
    </w:p>
    <w:p w14:paraId="0322A1F6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对体系框架、数据字典、CRF、统计流程、工具包进行逐项审阅</w:t>
      </w:r>
    </w:p>
    <w:p w14:paraId="06B98EFD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形成体系共识意见（Consensus Statement）</w:t>
      </w:r>
    </w:p>
    <w:p w14:paraId="0E77D48E">
      <w:pPr>
        <w:bidi w:val="0"/>
        <w:rPr>
          <w:rFonts w:hint="eastAsia" w:ascii="楷体" w:hAnsi="楷体" w:eastAsia="楷体" w:cs="楷体"/>
          <w:b/>
          <w:bCs/>
          <w:lang w:val="en-US" w:eastAsia="zh-CN"/>
        </w:rPr>
      </w:pPr>
      <w:r>
        <w:rPr>
          <w:rFonts w:hint="eastAsia" w:ascii="楷体" w:hAnsi="楷体" w:eastAsia="楷体" w:cs="楷体"/>
          <w:b/>
          <w:bCs/>
          <w:lang w:val="en-US" w:eastAsia="zh-CN"/>
        </w:rPr>
        <w:t>5. 现场流程演示讨论会</w:t>
      </w:r>
    </w:p>
    <w:p w14:paraId="57C1B192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由研究团队演示选题—检索—方案—伦理—数据—统计—论文全过程</w:t>
      </w:r>
    </w:p>
    <w:p w14:paraId="5A1070DE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专家现场评估体系可执行性</w:t>
      </w:r>
    </w:p>
    <w:p w14:paraId="60E50D2A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对流程瓶颈提出修改意见</w:t>
      </w:r>
    </w:p>
    <w:p w14:paraId="575E5197">
      <w:pPr>
        <w:numPr>
          <w:ilvl w:val="0"/>
          <w:numId w:val="71"/>
        </w:numPr>
        <w:bidi w:val="0"/>
        <w:ind w:left="420" w:leftChars="0" w:hanging="420" w:firstLineChars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最终确认体系正式版</w:t>
      </w:r>
    </w:p>
    <w:p w14:paraId="2BD7C7DE">
      <w:pPr>
        <w:bidi w:val="0"/>
        <w:rPr>
          <w:rFonts w:hint="eastAsia" w:ascii="楷体" w:hAnsi="楷体" w:eastAsia="楷体" w:cs="楷体"/>
          <w:b/>
          <w:bCs/>
          <w:lang w:val="en-US" w:eastAsia="zh-CN"/>
        </w:rPr>
      </w:pPr>
      <w:r>
        <w:rPr>
          <w:rFonts w:hint="eastAsia" w:ascii="楷体" w:hAnsi="楷体" w:eastAsia="楷体" w:cs="楷体"/>
          <w:b/>
          <w:bCs/>
          <w:lang w:val="en-US" w:eastAsia="zh-CN"/>
        </w:rPr>
        <w:t>6. 方法学价值</w:t>
      </w:r>
    </w:p>
    <w:p w14:paraId="1ED5C4DB">
      <w:pPr>
        <w:bidi w:val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上述流程确保体系具备：</w:t>
      </w:r>
    </w:p>
    <w:p w14:paraId="477FFBDA">
      <w:pPr>
        <w:bidi w:val="0"/>
        <w:rPr>
          <w:rFonts w:hint="eastAsia" w:ascii="楷体" w:hAnsi="楷体" w:eastAsia="楷体" w:cs="楷体"/>
          <w:lang w:val="en-US" w:eastAsia="zh-CN"/>
        </w:rPr>
      </w:pPr>
      <w:r>
        <w:rPr>
          <w:rFonts w:hint="eastAsia" w:ascii="楷体" w:hAnsi="楷体" w:eastAsia="楷体" w:cs="楷体"/>
          <w:lang w:val="en-US" w:eastAsia="zh-CN"/>
        </w:rPr>
        <w:t>科学性、可复制性、可溯源性、可推广性，与医师协会体系构建项目要求完全一致。</w:t>
      </w:r>
    </w:p>
    <w:p w14:paraId="7E2D5C00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附件4 </w:t>
      </w:r>
      <w:r>
        <w:rPr>
          <w:rFonts w:hint="eastAsia" w:ascii="黑体" w:hAnsi="黑体" w:eastAsia="黑体" w:cs="黑体"/>
        </w:rPr>
        <w:t>Protocol 模板（RWS/RCT/工程/AI 四个版本）</w:t>
      </w:r>
    </w:p>
    <w:p w14:paraId="53B926C2">
      <w:pPr>
        <w:bidi w:val="0"/>
        <w:rPr>
          <w:rFonts w:hint="eastAsia" w:ascii="楷体" w:hAnsi="楷体" w:eastAsia="楷体" w:cs="楷体"/>
          <w:b/>
          <w:bCs/>
        </w:rPr>
      </w:pPr>
      <w:bookmarkStart w:id="5" w:name="一真实世界研究rwsprotocol-模板"/>
      <w:r>
        <w:rPr>
          <w:rFonts w:hint="eastAsia" w:ascii="楷体" w:hAnsi="楷体" w:eastAsia="楷体" w:cs="楷体"/>
          <w:b/>
          <w:bCs/>
        </w:rPr>
        <w:t>一、真实世界研究（RWS）Protocol 模板</w:t>
      </w:r>
    </w:p>
    <w:p w14:paraId="3B4FADEF">
      <w:pPr>
        <w:bidi w:val="0"/>
        <w:rPr>
          <w:rFonts w:hint="eastAsia" w:ascii="楷体" w:hAnsi="楷体" w:eastAsia="楷体" w:cs="楷体"/>
          <w:b/>
          <w:bCs/>
          <w:i w:val="0"/>
          <w:iCs w:val="0"/>
          <w:color w:val="auto"/>
        </w:rPr>
      </w:pPr>
      <w:bookmarkStart w:id="6" w:name="基本信息"/>
      <w:r>
        <w:rPr>
          <w:rFonts w:hint="eastAsia" w:ascii="楷体" w:hAnsi="楷体" w:eastAsia="楷体" w:cs="楷体"/>
          <w:b/>
          <w:bCs/>
          <w:i w:val="0"/>
          <w:iCs w:val="0"/>
          <w:color w:val="auto"/>
        </w:rPr>
        <w:t>1. 基本信息</w:t>
      </w:r>
    </w:p>
    <w:p w14:paraId="6BB6670A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i w:val="0"/>
          <w:iCs w:val="0"/>
          <w:sz w:val="21"/>
          <w:szCs w:val="21"/>
        </w:rPr>
        <w:t>课题名称：</w:t>
      </w:r>
    </w:p>
    <w:p w14:paraId="78D3123C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i w:val="0"/>
          <w:iCs w:val="0"/>
          <w:sz w:val="21"/>
          <w:szCs w:val="21"/>
        </w:rPr>
        <w:t>主要研究者（PI）：</w:t>
      </w:r>
    </w:p>
    <w:p w14:paraId="1B937217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i w:val="0"/>
          <w:iCs w:val="0"/>
          <w:sz w:val="21"/>
          <w:szCs w:val="21"/>
        </w:rPr>
        <w:t>研究单位：</w:t>
      </w:r>
    </w:p>
    <w:p w14:paraId="4298EAB5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i w:val="0"/>
          <w:iCs w:val="0"/>
          <w:sz w:val="21"/>
          <w:szCs w:val="21"/>
        </w:rPr>
        <w:t>研究类型：</w:t>
      </w: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 xml:space="preserve"> 真实世界研究（Real-World Study）</w:t>
      </w:r>
    </w:p>
    <w:p w14:paraId="3460C18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i w:val="0"/>
          <w:iCs w:val="0"/>
          <w:sz w:val="21"/>
          <w:szCs w:val="21"/>
        </w:rPr>
        <w:t>伦理批件编号：</w:t>
      </w: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（待填写）</w:t>
      </w:r>
    </w:p>
    <w:bookmarkEnd w:id="6"/>
    <w:p w14:paraId="0F69A6B2">
      <w:pPr>
        <w:bidi w:val="0"/>
        <w:rPr>
          <w:rFonts w:hint="eastAsia" w:ascii="楷体" w:hAnsi="楷体" w:eastAsia="楷体" w:cs="楷体"/>
          <w:b/>
          <w:bCs/>
          <w:i w:val="0"/>
          <w:iCs w:val="0"/>
        </w:rPr>
      </w:pPr>
      <w:bookmarkStart w:id="7" w:name="研究背景与目的"/>
      <w:r>
        <w:rPr>
          <w:rFonts w:hint="eastAsia" w:ascii="楷体" w:hAnsi="楷体" w:eastAsia="楷体" w:cs="楷体"/>
          <w:b/>
          <w:bCs/>
          <w:i w:val="0"/>
          <w:iCs w:val="0"/>
        </w:rPr>
        <w:t>2. 研究背景与目的</w:t>
      </w:r>
    </w:p>
    <w:p w14:paraId="2A32621C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临床痛点：</w:t>
      </w:r>
    </w:p>
    <w:p w14:paraId="128A1EB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现有证据：</w:t>
      </w:r>
    </w:p>
    <w:p w14:paraId="3DDEDA4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研究目的：</w:t>
      </w:r>
    </w:p>
    <w:bookmarkEnd w:id="7"/>
    <w:p w14:paraId="4E69DF36">
      <w:pPr>
        <w:bidi w:val="0"/>
        <w:rPr>
          <w:rFonts w:hint="eastAsia" w:ascii="楷体" w:hAnsi="楷体" w:eastAsia="楷体" w:cs="楷体"/>
          <w:b/>
          <w:bCs/>
          <w:i w:val="0"/>
          <w:iCs w:val="0"/>
        </w:rPr>
      </w:pPr>
      <w:bookmarkStart w:id="8" w:name="研究设计"/>
      <w:r>
        <w:rPr>
          <w:rFonts w:hint="eastAsia" w:ascii="楷体" w:hAnsi="楷体" w:eastAsia="楷体" w:cs="楷体"/>
          <w:b/>
          <w:bCs/>
          <w:i w:val="0"/>
          <w:iCs w:val="0"/>
        </w:rPr>
        <w:t>3. 研究设计</w:t>
      </w:r>
    </w:p>
    <w:p w14:paraId="4215246E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研究类型：前瞻性/回顾性/混合队列</w:t>
      </w:r>
    </w:p>
    <w:p w14:paraId="0CFE9A6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研究中心：单中心 / 多中心</w:t>
      </w:r>
    </w:p>
    <w:p w14:paraId="4475E70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研究周期：</w:t>
      </w:r>
    </w:p>
    <w:p w14:paraId="1DFD5811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人群来源：连续入组 / 大样本队列 / 门诊+住院</w:t>
      </w:r>
    </w:p>
    <w:bookmarkEnd w:id="8"/>
    <w:p w14:paraId="3594339F">
      <w:pPr>
        <w:bidi w:val="0"/>
        <w:rPr>
          <w:rFonts w:hint="eastAsia" w:ascii="楷体" w:hAnsi="楷体" w:eastAsia="楷体" w:cs="楷体"/>
          <w:b/>
          <w:bCs/>
          <w:i w:val="0"/>
          <w:iCs w:val="0"/>
        </w:rPr>
      </w:pPr>
      <w:bookmarkStart w:id="9" w:name="研究对象"/>
      <w:r>
        <w:rPr>
          <w:rFonts w:hint="eastAsia" w:ascii="楷体" w:hAnsi="楷体" w:eastAsia="楷体" w:cs="楷体"/>
          <w:b/>
          <w:bCs/>
          <w:i w:val="0"/>
          <w:iCs w:val="0"/>
        </w:rPr>
        <w:t>4. 研究对象</w:t>
      </w:r>
    </w:p>
    <w:p w14:paraId="7BF7D2C8">
      <w:pPr>
        <w:bidi w:val="0"/>
        <w:rPr>
          <w:rFonts w:hint="eastAsia" w:ascii="楷体" w:hAnsi="楷体" w:eastAsia="楷体" w:cs="楷体"/>
          <w:b/>
          <w:bCs/>
          <w:i w:val="0"/>
          <w:iCs w:val="0"/>
        </w:rPr>
      </w:pPr>
      <w:bookmarkStart w:id="10" w:name="纳入标准"/>
      <w:r>
        <w:rPr>
          <w:rFonts w:hint="eastAsia" w:ascii="楷体" w:hAnsi="楷体" w:eastAsia="楷体" w:cs="楷体"/>
          <w:b/>
          <w:bCs/>
          <w:i w:val="0"/>
          <w:iCs w:val="0"/>
        </w:rPr>
        <w:t>4.1 纳入标准</w:t>
      </w:r>
    </w:p>
    <w:bookmarkEnd w:id="10"/>
    <w:p w14:paraId="206046EE">
      <w:pPr>
        <w:bidi w:val="0"/>
        <w:rPr>
          <w:rFonts w:hint="eastAsia" w:ascii="楷体" w:hAnsi="楷体" w:eastAsia="楷体" w:cs="楷体"/>
          <w:b/>
          <w:bCs/>
          <w:i w:val="0"/>
          <w:iCs w:val="0"/>
        </w:rPr>
      </w:pPr>
      <w:bookmarkStart w:id="11" w:name="排除标准"/>
      <w:r>
        <w:rPr>
          <w:rFonts w:hint="eastAsia" w:ascii="楷体" w:hAnsi="楷体" w:eastAsia="楷体" w:cs="楷体"/>
          <w:b/>
          <w:bCs/>
          <w:i w:val="0"/>
          <w:iCs w:val="0"/>
        </w:rPr>
        <w:t>4.2 排除标准</w:t>
      </w:r>
    </w:p>
    <w:bookmarkEnd w:id="9"/>
    <w:bookmarkEnd w:id="11"/>
    <w:p w14:paraId="7BC22A82">
      <w:pPr>
        <w:bidi w:val="0"/>
        <w:rPr>
          <w:rFonts w:hint="eastAsia" w:ascii="楷体" w:hAnsi="楷体" w:eastAsia="楷体" w:cs="楷体"/>
          <w:b/>
          <w:bCs/>
          <w:i w:val="0"/>
          <w:iCs w:val="0"/>
        </w:rPr>
      </w:pPr>
      <w:bookmarkStart w:id="12" w:name="研究内容"/>
      <w:r>
        <w:rPr>
          <w:rFonts w:hint="eastAsia" w:ascii="楷体" w:hAnsi="楷体" w:eastAsia="楷体" w:cs="楷体"/>
          <w:b/>
          <w:bCs/>
          <w:i w:val="0"/>
          <w:iCs w:val="0"/>
        </w:rPr>
        <w:t>5. 研究内容</w:t>
      </w:r>
    </w:p>
    <w:p w14:paraId="19314AFD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干预措施或暴露：</w:t>
      </w:r>
    </w:p>
    <w:p w14:paraId="24385B0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主要终点：</w:t>
      </w:r>
    </w:p>
    <w:p w14:paraId="372ADEA8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次要终点：</w:t>
      </w:r>
    </w:p>
    <w:p w14:paraId="7601526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安全性指标：</w:t>
      </w:r>
    </w:p>
    <w:bookmarkEnd w:id="12"/>
    <w:p w14:paraId="55BF3F8E">
      <w:pPr>
        <w:bidi w:val="0"/>
        <w:rPr>
          <w:rFonts w:hint="eastAsia" w:ascii="楷体" w:hAnsi="楷体" w:eastAsia="楷体" w:cs="楷体"/>
          <w:b/>
          <w:bCs/>
          <w:i w:val="0"/>
          <w:iCs w:val="0"/>
        </w:rPr>
      </w:pPr>
      <w:bookmarkStart w:id="13" w:name="数据收集crf-前置对应"/>
      <w:r>
        <w:rPr>
          <w:rFonts w:hint="eastAsia" w:ascii="楷体" w:hAnsi="楷体" w:eastAsia="楷体" w:cs="楷体"/>
          <w:b/>
          <w:bCs/>
          <w:i w:val="0"/>
          <w:iCs w:val="0"/>
        </w:rPr>
        <w:t>6. 数据收集（CRF 前置对应）</w:t>
      </w:r>
    </w:p>
    <w:p w14:paraId="38FD5DFF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数据来源：电⼦病历、随访系统、DIDTS 链</w:t>
      </w:r>
    </w:p>
    <w:p w14:paraId="2F10523C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数据时间点：术前 / 术中 / 术后 / 随访</w:t>
      </w:r>
    </w:p>
    <w:bookmarkEnd w:id="13"/>
    <w:p w14:paraId="7EFE3517">
      <w:pPr>
        <w:bidi w:val="0"/>
        <w:rPr>
          <w:rFonts w:hint="eastAsia" w:ascii="楷体" w:hAnsi="楷体" w:eastAsia="楷体" w:cs="楷体"/>
          <w:b/>
          <w:bCs/>
          <w:i w:val="0"/>
          <w:iCs w:val="0"/>
        </w:rPr>
      </w:pPr>
      <w:bookmarkStart w:id="14" w:name="统计分析计划sap-概要"/>
      <w:r>
        <w:rPr>
          <w:rFonts w:hint="eastAsia" w:ascii="楷体" w:hAnsi="楷体" w:eastAsia="楷体" w:cs="楷体"/>
          <w:b/>
          <w:bCs/>
          <w:i w:val="0"/>
          <w:iCs w:val="0"/>
        </w:rPr>
        <w:t>7. 统计分析计划（SAP 概要）</w:t>
      </w:r>
    </w:p>
    <w:p w14:paraId="2E920DAC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描述性统计</w:t>
      </w:r>
    </w:p>
    <w:p w14:paraId="7944171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差异比较：t 检验 / χ²</w:t>
      </w:r>
    </w:p>
    <w:p w14:paraId="29DF8D0D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回归分析：Logistic / Cox / LASSO</w:t>
      </w:r>
    </w:p>
    <w:p w14:paraId="238274AE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敏感性分析</w:t>
      </w:r>
    </w:p>
    <w:bookmarkEnd w:id="14"/>
    <w:p w14:paraId="1BB3A49D">
      <w:pPr>
        <w:bidi w:val="0"/>
        <w:rPr>
          <w:rFonts w:hint="eastAsia" w:ascii="楷体" w:hAnsi="楷体" w:eastAsia="楷体" w:cs="楷体"/>
          <w:b/>
          <w:bCs/>
          <w:i w:val="0"/>
          <w:iCs w:val="0"/>
        </w:rPr>
      </w:pPr>
      <w:bookmarkStart w:id="15" w:name="样本量估计"/>
      <w:r>
        <w:rPr>
          <w:rFonts w:hint="eastAsia" w:ascii="楷体" w:hAnsi="楷体" w:eastAsia="楷体" w:cs="楷体"/>
          <w:b/>
          <w:bCs/>
          <w:i w:val="0"/>
          <w:iCs w:val="0"/>
        </w:rPr>
        <w:t>8. 样本量估计</w:t>
      </w:r>
    </w:p>
    <w:p w14:paraId="33163B4D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方法：预计入组例数 / 估算依据</w:t>
      </w:r>
    </w:p>
    <w:bookmarkEnd w:id="15"/>
    <w:p w14:paraId="7B802130">
      <w:pPr>
        <w:bidi w:val="0"/>
        <w:rPr>
          <w:rFonts w:hint="eastAsia" w:ascii="楷体" w:hAnsi="楷体" w:eastAsia="楷体" w:cs="楷体"/>
          <w:b/>
          <w:bCs/>
          <w:i w:val="0"/>
          <w:iCs w:val="0"/>
        </w:rPr>
      </w:pPr>
      <w:bookmarkStart w:id="16" w:name="质量控制"/>
      <w:r>
        <w:rPr>
          <w:rFonts w:hint="eastAsia" w:ascii="楷体" w:hAnsi="楷体" w:eastAsia="楷体" w:cs="楷体"/>
          <w:b/>
          <w:bCs/>
          <w:i w:val="0"/>
          <w:iCs w:val="0"/>
        </w:rPr>
        <w:t>9. 质量控制</w:t>
      </w:r>
    </w:p>
    <w:p w14:paraId="53CA7DB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数据质控（DQC）计划</w:t>
      </w:r>
    </w:p>
    <w:p w14:paraId="4154132F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i w:val="0"/>
          <w:iCs w:val="0"/>
          <w:sz w:val="21"/>
          <w:szCs w:val="21"/>
        </w:rPr>
      </w:pPr>
      <w:r>
        <w:rPr>
          <w:rFonts w:hint="eastAsia" w:ascii="楷体" w:hAnsi="楷体" w:eastAsia="楷体" w:cs="楷体"/>
          <w:i w:val="0"/>
          <w:iCs w:val="0"/>
          <w:sz w:val="21"/>
          <w:szCs w:val="21"/>
        </w:rPr>
        <w:t>偏倚控制措施</w:t>
      </w:r>
    </w:p>
    <w:bookmarkEnd w:id="16"/>
    <w:p w14:paraId="627DFD66">
      <w:pPr>
        <w:bidi w:val="0"/>
        <w:rPr>
          <w:rFonts w:hint="eastAsia" w:ascii="楷体" w:hAnsi="楷体" w:eastAsia="楷体" w:cs="楷体"/>
          <w:b/>
          <w:bCs/>
          <w:i w:val="0"/>
          <w:iCs w:val="0"/>
        </w:rPr>
      </w:pPr>
      <w:bookmarkStart w:id="17" w:name="伦理与隐私"/>
      <w:r>
        <w:rPr>
          <w:rFonts w:hint="eastAsia" w:ascii="楷体" w:hAnsi="楷体" w:eastAsia="楷体" w:cs="楷体"/>
          <w:b/>
          <w:bCs/>
          <w:i w:val="0"/>
          <w:iCs w:val="0"/>
        </w:rPr>
        <w:t>10. 伦理与隐私</w:t>
      </w:r>
    </w:p>
    <w:bookmarkEnd w:id="5"/>
    <w:bookmarkEnd w:id="17"/>
    <w:p w14:paraId="34EBB24C">
      <w:pPr>
        <w:bidi w:val="0"/>
        <w:rPr>
          <w:rFonts w:hint="eastAsia" w:ascii="楷体" w:hAnsi="楷体" w:eastAsia="楷体" w:cs="楷体"/>
          <w:b/>
          <w:bCs/>
        </w:rPr>
      </w:pPr>
      <w:bookmarkStart w:id="18" w:name="二随机对照试验rctprotocol-模板"/>
      <w:r>
        <w:rPr>
          <w:rFonts w:hint="eastAsia" w:ascii="楷体" w:hAnsi="楷体" w:eastAsia="楷体" w:cs="楷体"/>
          <w:b/>
          <w:bCs/>
        </w:rPr>
        <w:t>二、随机对照试验（RCT）Protocol 模板</w:t>
      </w:r>
    </w:p>
    <w:p w14:paraId="3EA88D00">
      <w:pPr>
        <w:bidi w:val="0"/>
        <w:rPr>
          <w:rFonts w:hint="eastAsia" w:ascii="楷体" w:hAnsi="楷体" w:eastAsia="楷体" w:cs="楷体"/>
          <w:b/>
          <w:bCs/>
        </w:rPr>
      </w:pPr>
      <w:bookmarkStart w:id="19" w:name="基本信息-1"/>
      <w:r>
        <w:rPr>
          <w:rFonts w:hint="eastAsia" w:ascii="楷体" w:hAnsi="楷体" w:eastAsia="楷体" w:cs="楷体"/>
          <w:b/>
          <w:bCs/>
        </w:rPr>
        <w:t>1. 基本信息</w:t>
      </w:r>
    </w:p>
    <w:p w14:paraId="31F3405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研究类型：随机对照试验（RCT）</w:t>
      </w:r>
    </w:p>
    <w:p w14:paraId="63C01781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盲法：开放 / 单盲 / 双盲</w:t>
      </w:r>
    </w:p>
    <w:p w14:paraId="1966D1CA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分层随机：是 / 否</w:t>
      </w:r>
    </w:p>
    <w:bookmarkEnd w:id="19"/>
    <w:p w14:paraId="76B27C77">
      <w:pPr>
        <w:bidi w:val="0"/>
        <w:rPr>
          <w:rFonts w:hint="eastAsia" w:ascii="楷体" w:hAnsi="楷体" w:eastAsia="楷体" w:cs="楷体"/>
          <w:b/>
          <w:bCs/>
        </w:rPr>
      </w:pPr>
      <w:bookmarkStart w:id="20" w:name="研究背景与假设"/>
      <w:r>
        <w:rPr>
          <w:rFonts w:hint="eastAsia" w:ascii="楷体" w:hAnsi="楷体" w:eastAsia="楷体" w:cs="楷体"/>
          <w:b/>
          <w:bCs/>
        </w:rPr>
        <w:t>2. 研究背景与假设</w:t>
      </w:r>
    </w:p>
    <w:p w14:paraId="73939390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研究假设（H1/H0）：</w:t>
      </w:r>
    </w:p>
    <w:bookmarkEnd w:id="20"/>
    <w:p w14:paraId="6E9BC0F9">
      <w:pPr>
        <w:bidi w:val="0"/>
        <w:rPr>
          <w:rFonts w:hint="eastAsia" w:ascii="楷体" w:hAnsi="楷体" w:eastAsia="楷体" w:cs="楷体"/>
          <w:b/>
          <w:bCs/>
        </w:rPr>
      </w:pPr>
      <w:bookmarkStart w:id="21" w:name="研究设计-1"/>
      <w:r>
        <w:rPr>
          <w:rFonts w:hint="eastAsia" w:ascii="楷体" w:hAnsi="楷体" w:eastAsia="楷体" w:cs="楷体"/>
          <w:b/>
          <w:bCs/>
        </w:rPr>
        <w:t>3. 研究设计</w:t>
      </w:r>
    </w:p>
    <w:p w14:paraId="31AD6FF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试验类型：优效性 / 非劣效性 / 等效性</w:t>
      </w:r>
    </w:p>
    <w:p w14:paraId="59FF6BCB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分组比例：1:1 / 2:1</w:t>
      </w:r>
    </w:p>
    <w:p w14:paraId="294EB36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随机化方法：随机数字表 / 计算机随机序列</w:t>
      </w:r>
    </w:p>
    <w:p w14:paraId="53A0FCDB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b/>
          <w:bCs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盲法执行方式：</w:t>
      </w:r>
    </w:p>
    <w:bookmarkEnd w:id="21"/>
    <w:p w14:paraId="580034E1">
      <w:pPr>
        <w:bidi w:val="0"/>
        <w:rPr>
          <w:rFonts w:hint="eastAsia" w:ascii="楷体" w:hAnsi="楷体" w:eastAsia="楷体" w:cs="楷体"/>
          <w:b/>
          <w:bCs/>
        </w:rPr>
      </w:pPr>
      <w:bookmarkStart w:id="22" w:name="研究对象-1"/>
      <w:r>
        <w:rPr>
          <w:rFonts w:hint="eastAsia" w:ascii="楷体" w:hAnsi="楷体" w:eastAsia="楷体" w:cs="楷体"/>
          <w:b/>
          <w:bCs/>
        </w:rPr>
        <w:t>4. 研究对象</w:t>
      </w:r>
    </w:p>
    <w:p w14:paraId="1177466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纳入/排除标准</w:t>
      </w:r>
    </w:p>
    <w:bookmarkEnd w:id="22"/>
    <w:p w14:paraId="598B2FF0">
      <w:pPr>
        <w:bidi w:val="0"/>
        <w:rPr>
          <w:rFonts w:hint="eastAsia" w:ascii="楷体" w:hAnsi="楷体" w:eastAsia="楷体" w:cs="楷体"/>
          <w:b/>
          <w:bCs/>
        </w:rPr>
      </w:pPr>
      <w:bookmarkStart w:id="23" w:name="干预措施"/>
      <w:r>
        <w:rPr>
          <w:rFonts w:hint="eastAsia" w:ascii="楷体" w:hAnsi="楷体" w:eastAsia="楷体" w:cs="楷体"/>
          <w:b/>
          <w:bCs/>
        </w:rPr>
        <w:t>5. 干预措施</w:t>
      </w:r>
    </w:p>
    <w:p w14:paraId="654C276A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试验组：</w:t>
      </w:r>
    </w:p>
    <w:p w14:paraId="3AE60281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对照组：</w:t>
      </w:r>
    </w:p>
    <w:p w14:paraId="3FE02617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干预一致性标准：</w:t>
      </w:r>
    </w:p>
    <w:bookmarkEnd w:id="23"/>
    <w:p w14:paraId="44F6F031">
      <w:pPr>
        <w:bidi w:val="0"/>
        <w:rPr>
          <w:rFonts w:hint="eastAsia" w:ascii="楷体" w:hAnsi="楷体" w:eastAsia="楷体" w:cs="楷体"/>
          <w:b/>
          <w:bCs/>
        </w:rPr>
      </w:pPr>
      <w:bookmarkStart w:id="24" w:name="观察指标"/>
      <w:r>
        <w:rPr>
          <w:rFonts w:hint="eastAsia" w:ascii="楷体" w:hAnsi="楷体" w:eastAsia="楷体" w:cs="楷体"/>
          <w:b/>
          <w:bCs/>
        </w:rPr>
        <w:t>6. 观察指标</w:t>
      </w:r>
    </w:p>
    <w:p w14:paraId="7B135FD1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主要终点：</w:t>
      </w:r>
    </w:p>
    <w:p w14:paraId="3C336D6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次要终点：</w:t>
      </w:r>
    </w:p>
    <w:p w14:paraId="174386AE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不良事件（AE/SAE）判定：</w:t>
      </w:r>
    </w:p>
    <w:bookmarkEnd w:id="24"/>
    <w:p w14:paraId="6013D49A">
      <w:pPr>
        <w:bidi w:val="0"/>
        <w:rPr>
          <w:rFonts w:hint="eastAsia" w:ascii="楷体" w:hAnsi="楷体" w:eastAsia="楷体" w:cs="楷体"/>
          <w:b/>
          <w:bCs/>
        </w:rPr>
      </w:pPr>
      <w:bookmarkStart w:id="25" w:name="数据收集与-crf-结构"/>
      <w:r>
        <w:rPr>
          <w:rFonts w:hint="eastAsia" w:ascii="楷体" w:hAnsi="楷体" w:eastAsia="楷体" w:cs="楷体"/>
          <w:b/>
          <w:bCs/>
        </w:rPr>
        <w:t>7. 数据收集与 CRF 结构</w:t>
      </w:r>
    </w:p>
    <w:p w14:paraId="43F3AA28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术前、术中、术后数据点</w:t>
      </w:r>
    </w:p>
    <w:p w14:paraId="757DD72D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随访时间表</w:t>
      </w:r>
    </w:p>
    <w:bookmarkEnd w:id="25"/>
    <w:p w14:paraId="11F3314E">
      <w:pPr>
        <w:bidi w:val="0"/>
        <w:rPr>
          <w:rFonts w:hint="eastAsia" w:ascii="楷体" w:hAnsi="楷体" w:eastAsia="楷体" w:cs="楷体"/>
          <w:b/>
          <w:bCs/>
        </w:rPr>
      </w:pPr>
      <w:bookmarkStart w:id="26" w:name="统计学方法"/>
      <w:r>
        <w:rPr>
          <w:rFonts w:hint="eastAsia" w:ascii="楷体" w:hAnsi="楷体" w:eastAsia="楷体" w:cs="楷体"/>
          <w:b/>
          <w:bCs/>
        </w:rPr>
        <w:t>8. 统计学方法</w:t>
      </w:r>
    </w:p>
    <w:p w14:paraId="2C19E13A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ITT / PP 集分析</w:t>
      </w:r>
    </w:p>
    <w:p w14:paraId="34757FD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中期分析计划</w:t>
      </w:r>
    </w:p>
    <w:p w14:paraId="5541E290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多重比较调整</w:t>
      </w:r>
    </w:p>
    <w:bookmarkEnd w:id="26"/>
    <w:p w14:paraId="459746E2">
      <w:pPr>
        <w:bidi w:val="0"/>
        <w:rPr>
          <w:rFonts w:hint="eastAsia" w:ascii="楷体" w:hAnsi="楷体" w:eastAsia="楷体" w:cs="楷体"/>
          <w:b/>
          <w:bCs/>
        </w:rPr>
      </w:pPr>
      <w:bookmarkStart w:id="27" w:name="质量控制-1"/>
      <w:r>
        <w:rPr>
          <w:rFonts w:hint="eastAsia" w:ascii="楷体" w:hAnsi="楷体" w:eastAsia="楷体" w:cs="楷体"/>
          <w:b/>
          <w:bCs/>
        </w:rPr>
        <w:t>9. 质量控制</w:t>
      </w:r>
    </w:p>
    <w:p w14:paraId="25072D95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试验监查（CRA）</w:t>
      </w:r>
    </w:p>
    <w:p w14:paraId="5CB1AAC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盲法维持</w:t>
      </w:r>
    </w:p>
    <w:p w14:paraId="4D0763B1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数据锁定流程</w:t>
      </w:r>
    </w:p>
    <w:bookmarkEnd w:id="18"/>
    <w:bookmarkEnd w:id="27"/>
    <w:p w14:paraId="3593DB0A">
      <w:pPr>
        <w:bidi w:val="0"/>
        <w:rPr>
          <w:rFonts w:hint="eastAsia" w:ascii="楷体" w:hAnsi="楷体" w:eastAsia="楷体" w:cs="楷体"/>
          <w:b/>
          <w:bCs/>
        </w:rPr>
      </w:pPr>
      <w:bookmarkStart w:id="28" w:name="三工程器械研发design-controlprotocol-模板"/>
      <w:r>
        <w:rPr>
          <w:rFonts w:hint="eastAsia" w:ascii="楷体" w:hAnsi="楷体" w:eastAsia="楷体" w:cs="楷体"/>
          <w:b/>
          <w:bCs/>
        </w:rPr>
        <w:t>三、工程/器械研发（Design Control）Protocol 模板</w:t>
      </w:r>
    </w:p>
    <w:p w14:paraId="05493E4C">
      <w:pPr>
        <w:bidi w:val="0"/>
        <w:rPr>
          <w:rFonts w:hint="eastAsia" w:ascii="楷体" w:hAnsi="楷体" w:eastAsia="楷体" w:cs="楷体"/>
          <w:b/>
          <w:bCs/>
        </w:rPr>
      </w:pPr>
      <w:bookmarkStart w:id="29" w:name="基本信息-2"/>
      <w:r>
        <w:rPr>
          <w:rFonts w:hint="eastAsia" w:ascii="楷体" w:hAnsi="楷体" w:eastAsia="楷体" w:cs="楷体"/>
          <w:b/>
          <w:bCs/>
        </w:rPr>
        <w:t>1. 基本信息</w:t>
      </w:r>
    </w:p>
    <w:p w14:paraId="70CB4151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研究类型：工程验证 / 设计开发（Design Verification &amp; Validation）</w:t>
      </w:r>
    </w:p>
    <w:p w14:paraId="3A047C1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装置名称：</w:t>
      </w:r>
    </w:p>
    <w:p w14:paraId="6FCAF98D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专利布局编号：</w:t>
      </w:r>
    </w:p>
    <w:bookmarkEnd w:id="29"/>
    <w:p w14:paraId="19081EF8">
      <w:pPr>
        <w:bidi w:val="0"/>
        <w:rPr>
          <w:rFonts w:hint="eastAsia" w:ascii="楷体" w:hAnsi="楷体" w:eastAsia="楷体" w:cs="楷体"/>
          <w:b/>
          <w:bCs/>
        </w:rPr>
      </w:pPr>
      <w:bookmarkStart w:id="30" w:name="研发背景与技术需求"/>
      <w:r>
        <w:rPr>
          <w:rFonts w:hint="eastAsia" w:ascii="楷体" w:hAnsi="楷体" w:eastAsia="楷体" w:cs="楷体"/>
          <w:b/>
          <w:bCs/>
        </w:rPr>
        <w:t>2. 研发背景与技术需求</w:t>
      </w:r>
    </w:p>
    <w:p w14:paraId="40A512F1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临床痛点：</w:t>
      </w:r>
    </w:p>
    <w:p w14:paraId="259D1A9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工程需求列表（URS）</w:t>
      </w:r>
    </w:p>
    <w:p w14:paraId="09A61BD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技术路线：</w:t>
      </w:r>
    </w:p>
    <w:bookmarkEnd w:id="30"/>
    <w:p w14:paraId="488EC4F9">
      <w:pPr>
        <w:bidi w:val="0"/>
        <w:rPr>
          <w:rFonts w:hint="eastAsia" w:ascii="楷体" w:hAnsi="楷体" w:eastAsia="楷体" w:cs="楷体"/>
          <w:b/>
          <w:bCs/>
        </w:rPr>
      </w:pPr>
      <w:bookmarkStart w:id="31" w:name="设计控制design-control框架"/>
      <w:r>
        <w:rPr>
          <w:rFonts w:hint="eastAsia" w:ascii="楷体" w:hAnsi="楷体" w:eastAsia="楷体" w:cs="楷体"/>
          <w:b/>
          <w:bCs/>
        </w:rPr>
        <w:t>3. 设计控制（Design Control）框架</w:t>
      </w:r>
    </w:p>
    <w:p w14:paraId="7B3E37C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设计输入（Design Input）</w:t>
      </w:r>
    </w:p>
    <w:p w14:paraId="491E1A5B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设计输出（Design Output）</w:t>
      </w:r>
    </w:p>
    <w:p w14:paraId="0E3831BB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设计评审（Design Review）</w:t>
      </w:r>
    </w:p>
    <w:p w14:paraId="24BC498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设计验证（Verification）</w:t>
      </w:r>
    </w:p>
    <w:p w14:paraId="02B615AF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设计确认（Validation）</w:t>
      </w:r>
    </w:p>
    <w:bookmarkEnd w:id="31"/>
    <w:p w14:paraId="23EF7E85">
      <w:pPr>
        <w:bidi w:val="0"/>
        <w:rPr>
          <w:rFonts w:hint="eastAsia" w:ascii="楷体" w:hAnsi="楷体" w:eastAsia="楷体" w:cs="楷体"/>
          <w:b/>
          <w:bCs/>
        </w:rPr>
      </w:pPr>
      <w:bookmarkStart w:id="32" w:name="性能验证vv计划"/>
      <w:r>
        <w:rPr>
          <w:rFonts w:hint="eastAsia" w:ascii="楷体" w:hAnsi="楷体" w:eastAsia="楷体" w:cs="楷体"/>
          <w:b/>
          <w:bCs/>
        </w:rPr>
        <w:t>4. 性能验证（V&amp;V）计划</w:t>
      </w:r>
    </w:p>
    <w:p w14:paraId="1BDC742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机械性能测试</w:t>
      </w:r>
    </w:p>
    <w:p w14:paraId="5A4EAC4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耐久性测试</w:t>
      </w:r>
    </w:p>
    <w:p w14:paraId="210018E8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消毒灭菌验证</w:t>
      </w:r>
    </w:p>
    <w:p w14:paraId="70B1ED1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人因工程验证（HFE）</w:t>
      </w:r>
    </w:p>
    <w:bookmarkEnd w:id="32"/>
    <w:p w14:paraId="4E1FE77E">
      <w:pPr>
        <w:bidi w:val="0"/>
        <w:rPr>
          <w:rFonts w:hint="eastAsia" w:ascii="楷体" w:hAnsi="楷体" w:eastAsia="楷体" w:cs="楷体"/>
          <w:b/>
          <w:bCs/>
        </w:rPr>
      </w:pPr>
      <w:bookmarkStart w:id="33" w:name="实验设计"/>
      <w:r>
        <w:rPr>
          <w:rFonts w:hint="eastAsia" w:ascii="楷体" w:hAnsi="楷体" w:eastAsia="楷体" w:cs="楷体"/>
          <w:b/>
          <w:bCs/>
        </w:rPr>
        <w:t>5. 实验设计</w:t>
      </w:r>
    </w:p>
    <w:p w14:paraId="498229B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样本：模型/动物/临床前</w:t>
      </w:r>
    </w:p>
    <w:p w14:paraId="4F5DD23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测试条件</w:t>
      </w:r>
    </w:p>
    <w:p w14:paraId="0C136A8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评价指标：精度、力学性能、操作性、稳定性</w:t>
      </w:r>
    </w:p>
    <w:bookmarkEnd w:id="33"/>
    <w:p w14:paraId="5E93BBDF">
      <w:pPr>
        <w:bidi w:val="0"/>
        <w:rPr>
          <w:rFonts w:hint="eastAsia" w:ascii="楷体" w:hAnsi="楷体" w:eastAsia="楷体" w:cs="楷体"/>
          <w:b/>
          <w:bCs/>
        </w:rPr>
      </w:pPr>
      <w:bookmarkStart w:id="34" w:name="数据与资料采集"/>
      <w:r>
        <w:rPr>
          <w:rFonts w:hint="eastAsia" w:ascii="楷体" w:hAnsi="楷体" w:eastAsia="楷体" w:cs="楷体"/>
          <w:b/>
          <w:bCs/>
        </w:rPr>
        <w:t>6. 数据与资料采集</w:t>
      </w:r>
    </w:p>
    <w:p w14:paraId="177BA5CC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机械仿真数据（CAD/CAE）</w:t>
      </w:r>
    </w:p>
    <w:p w14:paraId="292587F8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试验台数据</w:t>
      </w:r>
    </w:p>
    <w:p w14:paraId="0C5FF148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操作者反馈</w:t>
      </w:r>
    </w:p>
    <w:bookmarkEnd w:id="34"/>
    <w:p w14:paraId="77EE5765">
      <w:pPr>
        <w:bidi w:val="0"/>
        <w:rPr>
          <w:rFonts w:hint="eastAsia" w:ascii="楷体" w:hAnsi="楷体" w:eastAsia="楷体" w:cs="楷体"/>
          <w:b/>
          <w:bCs/>
        </w:rPr>
      </w:pPr>
      <w:bookmarkStart w:id="35" w:name="风险管理"/>
      <w:r>
        <w:rPr>
          <w:rFonts w:hint="eastAsia" w:ascii="楷体" w:hAnsi="楷体" w:eastAsia="楷体" w:cs="楷体"/>
          <w:b/>
          <w:bCs/>
        </w:rPr>
        <w:t>7. 风险管理</w:t>
      </w:r>
    </w:p>
    <w:p w14:paraId="7118334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ISO 14971 风险矩阵</w:t>
      </w:r>
    </w:p>
    <w:p w14:paraId="50357F70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风险控制策略</w:t>
      </w:r>
    </w:p>
    <w:bookmarkEnd w:id="35"/>
    <w:p w14:paraId="7D3EC02B">
      <w:pPr>
        <w:bidi w:val="0"/>
        <w:rPr>
          <w:rFonts w:hint="eastAsia" w:ascii="楷体" w:hAnsi="楷体" w:eastAsia="楷体" w:cs="楷体"/>
          <w:b/>
          <w:bCs/>
        </w:rPr>
      </w:pPr>
      <w:bookmarkStart w:id="36" w:name="专利前置材料生成"/>
      <w:r>
        <w:rPr>
          <w:rFonts w:hint="eastAsia" w:ascii="楷体" w:hAnsi="楷体" w:eastAsia="楷体" w:cs="楷体"/>
          <w:b/>
          <w:bCs/>
        </w:rPr>
        <w:t>8. 专利前置材料生成</w:t>
      </w:r>
    </w:p>
    <w:p w14:paraId="2638E70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新颖点总结</w:t>
      </w:r>
    </w:p>
    <w:p w14:paraId="1FAE591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对比竞品</w:t>
      </w:r>
    </w:p>
    <w:bookmarkEnd w:id="28"/>
    <w:bookmarkEnd w:id="36"/>
    <w:p w14:paraId="6FFD32AC">
      <w:pPr>
        <w:bidi w:val="0"/>
        <w:rPr>
          <w:rFonts w:hint="eastAsia" w:ascii="楷体" w:hAnsi="楷体" w:eastAsia="楷体" w:cs="楷体"/>
          <w:b/>
          <w:bCs/>
        </w:rPr>
      </w:pPr>
      <w:bookmarkStart w:id="37" w:name="四ai-智能系统研究-protocol-模板"/>
      <w:r>
        <w:rPr>
          <w:rFonts w:hint="eastAsia" w:ascii="楷体" w:hAnsi="楷体" w:eastAsia="楷体" w:cs="楷体"/>
          <w:b/>
          <w:bCs/>
        </w:rPr>
        <w:t>四、AI / 智能系统研究 Protocol 模板</w:t>
      </w:r>
    </w:p>
    <w:p w14:paraId="1CC2DAF0">
      <w:pPr>
        <w:bidi w:val="0"/>
        <w:rPr>
          <w:rFonts w:hint="eastAsia" w:ascii="楷体" w:hAnsi="楷体" w:eastAsia="楷体" w:cs="楷体"/>
          <w:b/>
          <w:bCs/>
        </w:rPr>
      </w:pPr>
      <w:bookmarkStart w:id="38" w:name="基本信息-3"/>
      <w:r>
        <w:rPr>
          <w:rFonts w:hint="eastAsia" w:ascii="楷体" w:hAnsi="楷体" w:eastAsia="楷体" w:cs="楷体"/>
          <w:b/>
          <w:bCs/>
        </w:rPr>
        <w:t>1. 基本信息</w:t>
      </w:r>
    </w:p>
    <w:p w14:paraId="60298DEC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研究类型：AI 模型开发 / 验证 / 部署</w:t>
      </w:r>
    </w:p>
    <w:p w14:paraId="7AB8354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模型类型：LLM / CNN / Transformer / RAG</w:t>
      </w:r>
    </w:p>
    <w:bookmarkEnd w:id="38"/>
    <w:p w14:paraId="7D7A79DA">
      <w:pPr>
        <w:bidi w:val="0"/>
        <w:rPr>
          <w:rFonts w:hint="eastAsia" w:ascii="楷体" w:hAnsi="楷体" w:eastAsia="楷体" w:cs="楷体"/>
          <w:b/>
          <w:bCs/>
        </w:rPr>
      </w:pPr>
      <w:bookmarkStart w:id="39" w:name="研究目的与场景"/>
      <w:r>
        <w:rPr>
          <w:rFonts w:hint="eastAsia" w:ascii="楷体" w:hAnsi="楷体" w:eastAsia="楷体" w:cs="楷体"/>
          <w:b/>
          <w:bCs/>
        </w:rPr>
        <w:t>2. 研究目的与场景</w:t>
      </w:r>
    </w:p>
    <w:p w14:paraId="5482C86D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医疗场景：病历质控 / 诊断支持 / 分割 / 分类</w:t>
      </w:r>
    </w:p>
    <w:p w14:paraId="773E620E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痛点：</w:t>
      </w:r>
    </w:p>
    <w:bookmarkEnd w:id="39"/>
    <w:p w14:paraId="5AD11983">
      <w:pPr>
        <w:bidi w:val="0"/>
        <w:rPr>
          <w:rFonts w:hint="eastAsia" w:ascii="楷体" w:hAnsi="楷体" w:eastAsia="楷体" w:cs="楷体"/>
          <w:b/>
          <w:bCs/>
        </w:rPr>
      </w:pPr>
      <w:bookmarkStart w:id="40" w:name="研究数据"/>
      <w:r>
        <w:rPr>
          <w:rFonts w:hint="eastAsia" w:ascii="楷体" w:hAnsi="楷体" w:eastAsia="楷体" w:cs="楷体"/>
          <w:b/>
          <w:bCs/>
        </w:rPr>
        <w:t>3. 研究数据</w:t>
      </w:r>
    </w:p>
    <w:p w14:paraId="56F5BC0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数据来源：EMR/DICOM/语音数据</w:t>
      </w:r>
    </w:p>
    <w:p w14:paraId="7F3E67AB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数据预处理：脱敏、标注、标签体系</w:t>
      </w:r>
    </w:p>
    <w:p w14:paraId="12326BEF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数据量（训练/验证/测试）：</w:t>
      </w:r>
    </w:p>
    <w:bookmarkEnd w:id="40"/>
    <w:p w14:paraId="3D54A098">
      <w:pPr>
        <w:bidi w:val="0"/>
        <w:rPr>
          <w:rFonts w:hint="eastAsia" w:ascii="楷体" w:hAnsi="楷体" w:eastAsia="楷体" w:cs="楷体"/>
          <w:b/>
          <w:bCs/>
        </w:rPr>
      </w:pPr>
      <w:bookmarkStart w:id="41" w:name="模型设计"/>
      <w:r>
        <w:rPr>
          <w:rFonts w:hint="eastAsia" w:ascii="楷体" w:hAnsi="楷体" w:eastAsia="楷体" w:cs="楷体"/>
          <w:b/>
          <w:bCs/>
        </w:rPr>
        <w:t>4. 模型设计</w:t>
      </w:r>
    </w:p>
    <w:p w14:paraId="056ECC60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模型架构：</w:t>
      </w:r>
    </w:p>
    <w:p w14:paraId="4AC1370D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训练策略：</w:t>
      </w:r>
    </w:p>
    <w:p w14:paraId="7A15DBF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超参数设置：</w:t>
      </w:r>
    </w:p>
    <w:bookmarkEnd w:id="41"/>
    <w:p w14:paraId="71790B8B">
      <w:pPr>
        <w:bidi w:val="0"/>
        <w:rPr>
          <w:rFonts w:hint="eastAsia" w:ascii="楷体" w:hAnsi="楷体" w:eastAsia="楷体" w:cs="楷体"/>
          <w:b/>
          <w:bCs/>
        </w:rPr>
      </w:pPr>
      <w:bookmarkStart w:id="42" w:name="模型评估"/>
      <w:r>
        <w:rPr>
          <w:rFonts w:hint="eastAsia" w:ascii="楷体" w:hAnsi="楷体" w:eastAsia="楷体" w:cs="楷体"/>
          <w:b/>
          <w:bCs/>
        </w:rPr>
        <w:t>5. 模型评估</w:t>
      </w:r>
    </w:p>
    <w:p w14:paraId="31E80BD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指标：AUC/Recall/F1/MAE/BLEU</w:t>
      </w:r>
    </w:p>
    <w:p w14:paraId="52C302EE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外部验证：多中心验证</w:t>
      </w:r>
    </w:p>
    <w:bookmarkEnd w:id="42"/>
    <w:p w14:paraId="2128286E">
      <w:pPr>
        <w:bidi w:val="0"/>
        <w:rPr>
          <w:rFonts w:hint="eastAsia" w:ascii="楷体" w:hAnsi="楷体" w:eastAsia="楷体" w:cs="楷体"/>
          <w:b/>
          <w:bCs/>
        </w:rPr>
      </w:pPr>
      <w:bookmarkStart w:id="43" w:name="模型部署"/>
      <w:r>
        <w:rPr>
          <w:rFonts w:hint="eastAsia" w:ascii="楷体" w:hAnsi="楷体" w:eastAsia="楷体" w:cs="楷体"/>
          <w:b/>
          <w:bCs/>
        </w:rPr>
        <w:t>6. 模型部署</w:t>
      </w:r>
    </w:p>
    <w:p w14:paraId="14461297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轻量化 / 边缘化部署方案</w:t>
      </w:r>
    </w:p>
    <w:p w14:paraId="366B3AAD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模型可解释性</w:t>
      </w:r>
    </w:p>
    <w:p w14:paraId="0EE15BAC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安全性与可靠性</w:t>
      </w:r>
    </w:p>
    <w:bookmarkEnd w:id="43"/>
    <w:p w14:paraId="6A305682">
      <w:pPr>
        <w:bidi w:val="0"/>
        <w:rPr>
          <w:rFonts w:hint="eastAsia" w:ascii="楷体" w:hAnsi="楷体" w:eastAsia="楷体" w:cs="楷体"/>
          <w:b/>
          <w:bCs/>
        </w:rPr>
      </w:pPr>
      <w:bookmarkStart w:id="44" w:name="隐私安全"/>
      <w:r>
        <w:rPr>
          <w:rFonts w:hint="eastAsia" w:ascii="楷体" w:hAnsi="楷体" w:eastAsia="楷体" w:cs="楷体"/>
          <w:b/>
          <w:bCs/>
        </w:rPr>
        <w:t>7. 隐私安全</w:t>
      </w:r>
    </w:p>
    <w:p w14:paraId="2E22A2DE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数据安全方案</w:t>
      </w:r>
    </w:p>
    <w:p w14:paraId="06DEB88A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模型安全评估</w:t>
      </w:r>
    </w:p>
    <w:bookmarkEnd w:id="44"/>
    <w:p w14:paraId="082E0207">
      <w:pPr>
        <w:bidi w:val="0"/>
        <w:rPr>
          <w:rFonts w:hint="eastAsia" w:ascii="楷体" w:hAnsi="楷体" w:eastAsia="楷体" w:cs="楷体"/>
          <w:b/>
          <w:bCs/>
        </w:rPr>
      </w:pPr>
      <w:bookmarkStart w:id="45" w:name="伦理与监管"/>
      <w:r>
        <w:rPr>
          <w:rFonts w:hint="eastAsia" w:ascii="楷体" w:hAnsi="楷体" w:eastAsia="楷体" w:cs="楷体"/>
          <w:b/>
          <w:bCs/>
        </w:rPr>
        <w:t>8. 伦理与监管</w:t>
      </w:r>
    </w:p>
    <w:p w14:paraId="1E45579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color w:val="0070C0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人工智能医疗器械监管要求（NMPA）</w:t>
      </w:r>
      <w:bookmarkEnd w:id="37"/>
      <w:bookmarkEnd w:id="45"/>
    </w:p>
    <w:p w14:paraId="4202E87C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>附件5　</w:t>
      </w:r>
      <w:r>
        <w:rPr>
          <w:rFonts w:hint="eastAsia" w:ascii="黑体" w:hAnsi="黑体" w:eastAsia="黑体" w:cs="黑体"/>
        </w:rPr>
        <w:t>统计分析计划（SAP）模板</w:t>
      </w:r>
    </w:p>
    <w:p w14:paraId="67FEC822">
      <w:pPr>
        <w:pStyle w:val="7"/>
        <w:ind w:firstLine="420" w:firstLineChars="200"/>
        <w:rPr>
          <w:rFonts w:hint="eastAsia" w:ascii="楷体" w:hAnsi="楷体" w:eastAsia="楷体" w:cs="楷体"/>
          <w:sz w:val="21"/>
          <w:szCs w:val="21"/>
        </w:rPr>
      </w:pPr>
      <w:bookmarkStart w:id="46" w:name="附件4-统计分析计划sap模板"/>
      <w:r>
        <w:rPr>
          <w:rFonts w:hint="eastAsia" w:ascii="楷体" w:hAnsi="楷体" w:eastAsia="楷体" w:cs="楷体"/>
          <w:sz w:val="21"/>
          <w:szCs w:val="21"/>
        </w:rPr>
        <w:t>本 SAP 模板适用于 RWS、RCT、工程项目（定量性能验证部分）与 AI 模型验证项目，是科研生产线（</w:t>
      </w:r>
      <w:r>
        <w:rPr>
          <w:rFonts w:hint="eastAsia" w:ascii="楷体" w:hAnsi="楷体" w:eastAsia="楷体" w:cs="楷体"/>
          <w:sz w:val="21"/>
          <w:szCs w:val="21"/>
          <w:lang w:eastAsia="zh-CN"/>
        </w:rPr>
        <w:t>SRWS</w:t>
      </w:r>
      <w:r>
        <w:rPr>
          <w:rFonts w:hint="eastAsia" w:ascii="楷体" w:hAnsi="楷体" w:eastAsia="楷体" w:cs="楷体"/>
          <w:sz w:val="21"/>
          <w:szCs w:val="21"/>
        </w:rPr>
        <w:t>）必备的标准化统计文件。</w:t>
      </w:r>
    </w:p>
    <w:bookmarkEnd w:id="46"/>
    <w:p w14:paraId="0D214B92">
      <w:pPr>
        <w:bidi w:val="0"/>
        <w:rPr>
          <w:rFonts w:hint="eastAsia" w:ascii="楷体" w:hAnsi="楷体" w:eastAsia="楷体" w:cs="楷体"/>
          <w:b/>
          <w:bCs/>
        </w:rPr>
      </w:pPr>
      <w:bookmarkStart w:id="47" w:name="文档信息"/>
      <w:r>
        <w:rPr>
          <w:rFonts w:hint="eastAsia" w:ascii="楷体" w:hAnsi="楷体" w:eastAsia="楷体" w:cs="楷体"/>
          <w:b/>
          <w:bCs/>
        </w:rPr>
        <w:t>1. 文档信息</w:t>
      </w:r>
    </w:p>
    <w:p w14:paraId="02F894C0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文件名称：</w:t>
      </w:r>
      <w:r>
        <w:rPr>
          <w:rFonts w:hint="eastAsia" w:ascii="楷体" w:hAnsi="楷体" w:eastAsia="楷体" w:cs="楷体"/>
          <w:sz w:val="21"/>
          <w:szCs w:val="21"/>
        </w:rPr>
        <w:t xml:space="preserve"> 统计分析计划（SAP）</w:t>
      </w:r>
    </w:p>
    <w:p w14:paraId="51F15C8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项目名称：</w:t>
      </w:r>
      <w:r>
        <w:rPr>
          <w:rFonts w:hint="eastAsia" w:ascii="楷体" w:hAnsi="楷体" w:eastAsia="楷体" w:cs="楷体"/>
          <w:sz w:val="21"/>
          <w:szCs w:val="21"/>
        </w:rPr>
        <w:t>（填写）</w:t>
      </w:r>
    </w:p>
    <w:p w14:paraId="24A63177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版本号：</w:t>
      </w:r>
      <w:r>
        <w:rPr>
          <w:rFonts w:hint="eastAsia" w:ascii="楷体" w:hAnsi="楷体" w:eastAsia="楷体" w:cs="楷体"/>
          <w:sz w:val="21"/>
          <w:szCs w:val="21"/>
        </w:rPr>
        <w:t xml:space="preserve"> V1.0</w:t>
      </w:r>
    </w:p>
    <w:p w14:paraId="104C652B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撰写日期：</w:t>
      </w:r>
      <w:r>
        <w:rPr>
          <w:rFonts w:hint="eastAsia" w:ascii="楷体" w:hAnsi="楷体" w:eastAsia="楷体" w:cs="楷体"/>
          <w:sz w:val="21"/>
          <w:szCs w:val="21"/>
        </w:rPr>
        <w:t>（填写）</w:t>
      </w:r>
    </w:p>
    <w:p w14:paraId="372138A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主要研究者（PI）：</w:t>
      </w:r>
      <w:r>
        <w:rPr>
          <w:rFonts w:hint="eastAsia" w:ascii="楷体" w:hAnsi="楷体" w:eastAsia="楷体" w:cs="楷体"/>
          <w:sz w:val="21"/>
          <w:szCs w:val="21"/>
        </w:rPr>
        <w:t>（填写）</w:t>
      </w:r>
    </w:p>
    <w:p w14:paraId="352F84A7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统计负责人：</w:t>
      </w:r>
      <w:r>
        <w:rPr>
          <w:rFonts w:hint="eastAsia" w:ascii="楷体" w:hAnsi="楷体" w:eastAsia="楷体" w:cs="楷体"/>
          <w:sz w:val="21"/>
          <w:szCs w:val="21"/>
        </w:rPr>
        <w:t>（填写）</w:t>
      </w:r>
    </w:p>
    <w:p w14:paraId="1E43C53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研究类型：</w:t>
      </w:r>
      <w:r>
        <w:rPr>
          <w:rFonts w:hint="eastAsia" w:ascii="楷体" w:hAnsi="楷体" w:eastAsia="楷体" w:cs="楷体"/>
          <w:sz w:val="21"/>
          <w:szCs w:val="21"/>
        </w:rPr>
        <w:t xml:space="preserve"> RWS / RCT / 工程 / AI</w:t>
      </w:r>
    </w:p>
    <w:bookmarkEnd w:id="47"/>
    <w:p w14:paraId="02A9589F">
      <w:pPr>
        <w:bidi w:val="0"/>
        <w:rPr>
          <w:rFonts w:hint="eastAsia" w:ascii="楷体" w:hAnsi="楷体" w:eastAsia="楷体" w:cs="楷体"/>
          <w:b/>
          <w:bCs/>
        </w:rPr>
      </w:pPr>
      <w:bookmarkStart w:id="48" w:name="研究背景与目的summary-of-study-objectives"/>
      <w:r>
        <w:rPr>
          <w:rFonts w:hint="eastAsia" w:ascii="楷体" w:hAnsi="楷体" w:eastAsia="楷体" w:cs="楷体"/>
          <w:b/>
          <w:bCs/>
        </w:rPr>
        <w:t>2. 研究背景与目的（Summary of Study Objectives）</w:t>
      </w:r>
    </w:p>
    <w:p w14:paraId="52084A93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简要概述： - 临床或工程或算法问题 - 研究的主要和次要目的</w:t>
      </w:r>
    </w:p>
    <w:bookmarkEnd w:id="48"/>
    <w:p w14:paraId="12F5ACBF">
      <w:pPr>
        <w:bidi w:val="0"/>
        <w:rPr>
          <w:rFonts w:hint="eastAsia" w:ascii="楷体" w:hAnsi="楷体" w:eastAsia="楷体" w:cs="楷体"/>
          <w:b/>
          <w:bCs/>
        </w:rPr>
      </w:pPr>
      <w:bookmarkStart w:id="49" w:name="研究终点endpoints"/>
      <w:r>
        <w:rPr>
          <w:rFonts w:hint="eastAsia" w:ascii="楷体" w:hAnsi="楷体" w:eastAsia="楷体" w:cs="楷体"/>
          <w:b/>
          <w:bCs/>
        </w:rPr>
        <w:t>3. 研究终点（Endpoints）</w:t>
      </w:r>
    </w:p>
    <w:p w14:paraId="0B1C8D40">
      <w:pPr>
        <w:bidi w:val="0"/>
        <w:rPr>
          <w:rFonts w:hint="eastAsia" w:ascii="楷体" w:hAnsi="楷体" w:eastAsia="楷体" w:cs="楷体"/>
          <w:b/>
          <w:bCs/>
        </w:rPr>
      </w:pPr>
      <w:bookmarkStart w:id="50" w:name="主要终点primary-endpoint"/>
      <w:r>
        <w:rPr>
          <w:rFonts w:hint="eastAsia" w:ascii="楷体" w:hAnsi="楷体" w:eastAsia="楷体" w:cs="楷体"/>
          <w:b/>
          <w:bCs/>
        </w:rPr>
        <w:t>3.1 主要终点（Primary Endpoint）</w:t>
      </w:r>
    </w:p>
    <w:p w14:paraId="356A22C5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定义（含单位、测量方式、时间点）</w:t>
      </w:r>
    </w:p>
    <w:p w14:paraId="7C8E7EF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指标性质：连续/分类/时间事件</w:t>
      </w:r>
    </w:p>
    <w:bookmarkEnd w:id="50"/>
    <w:p w14:paraId="57444F86">
      <w:pPr>
        <w:bidi w:val="0"/>
        <w:rPr>
          <w:rFonts w:hint="eastAsia" w:ascii="楷体" w:hAnsi="楷体" w:eastAsia="楷体" w:cs="楷体"/>
          <w:b/>
          <w:bCs/>
        </w:rPr>
      </w:pPr>
      <w:bookmarkStart w:id="51" w:name="次要终点secondary-endpoints"/>
      <w:r>
        <w:rPr>
          <w:rFonts w:hint="eastAsia" w:ascii="楷体" w:hAnsi="楷体" w:eastAsia="楷体" w:cs="楷体"/>
          <w:b/>
          <w:bCs/>
        </w:rPr>
        <w:t>3.2 次要终点（Secondary Endpoints）</w:t>
      </w:r>
    </w:p>
    <w:p w14:paraId="2FBC1F07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按编号列出。</w:t>
      </w:r>
    </w:p>
    <w:bookmarkEnd w:id="51"/>
    <w:p w14:paraId="1C140F62">
      <w:pPr>
        <w:bidi w:val="0"/>
        <w:rPr>
          <w:rFonts w:hint="eastAsia" w:ascii="楷体" w:hAnsi="楷体" w:eastAsia="楷体" w:cs="楷体"/>
          <w:b/>
          <w:bCs/>
        </w:rPr>
      </w:pPr>
      <w:bookmarkStart w:id="52" w:name="安全性指标safety-endpoints如适用"/>
      <w:r>
        <w:rPr>
          <w:rFonts w:hint="eastAsia" w:ascii="楷体" w:hAnsi="楷体" w:eastAsia="楷体" w:cs="楷体"/>
          <w:b/>
          <w:bCs/>
        </w:rPr>
        <w:t>3.3 安全性指标（Safety Endpoints）（如适用）</w:t>
      </w:r>
    </w:p>
    <w:p w14:paraId="6626F93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AE/SAE 定义、评估方法</w:t>
      </w:r>
    </w:p>
    <w:bookmarkEnd w:id="49"/>
    <w:bookmarkEnd w:id="52"/>
    <w:p w14:paraId="3DAEEA22">
      <w:pPr>
        <w:bidi w:val="0"/>
        <w:rPr>
          <w:rFonts w:hint="eastAsia" w:ascii="楷体" w:hAnsi="楷体" w:eastAsia="楷体" w:cs="楷体"/>
          <w:b/>
          <w:bCs/>
        </w:rPr>
      </w:pPr>
      <w:bookmarkStart w:id="53" w:name="分析集定义analysis-sets"/>
      <w:r>
        <w:rPr>
          <w:rFonts w:hint="eastAsia" w:ascii="楷体" w:hAnsi="楷体" w:eastAsia="楷体" w:cs="楷体"/>
          <w:b/>
          <w:bCs/>
        </w:rPr>
        <w:t>4. 分析集定义（Analysis Sets）</w:t>
      </w:r>
    </w:p>
    <w:p w14:paraId="1D61FEE4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依研究类型选择：</w:t>
      </w:r>
    </w:p>
    <w:p w14:paraId="79D4491D">
      <w:pPr>
        <w:bidi w:val="0"/>
        <w:rPr>
          <w:rFonts w:hint="eastAsia" w:ascii="楷体" w:hAnsi="楷体" w:eastAsia="楷体" w:cs="楷体"/>
          <w:b/>
          <w:bCs/>
        </w:rPr>
      </w:pPr>
      <w:bookmarkStart w:id="54" w:name="rws"/>
      <w:r>
        <w:rPr>
          <w:rFonts w:hint="eastAsia" w:ascii="楷体" w:hAnsi="楷体" w:eastAsia="楷体" w:cs="楷体"/>
          <w:b/>
          <w:bCs/>
        </w:rPr>
        <w:t>4.1 RWS</w:t>
      </w:r>
    </w:p>
    <w:p w14:paraId="69B1D7E1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FAS（全分析集）</w:t>
      </w:r>
    </w:p>
    <w:p w14:paraId="2E191BA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PPS（符合方案集）</w:t>
      </w:r>
    </w:p>
    <w:bookmarkEnd w:id="54"/>
    <w:p w14:paraId="62E5CF41">
      <w:pPr>
        <w:bidi w:val="0"/>
        <w:rPr>
          <w:rFonts w:hint="eastAsia" w:ascii="楷体" w:hAnsi="楷体" w:eastAsia="楷体" w:cs="楷体"/>
          <w:b/>
          <w:bCs/>
        </w:rPr>
      </w:pPr>
      <w:bookmarkStart w:id="55" w:name="rct"/>
      <w:r>
        <w:rPr>
          <w:rFonts w:hint="eastAsia" w:ascii="楷体" w:hAnsi="楷体" w:eastAsia="楷体" w:cs="楷体"/>
          <w:b/>
          <w:bCs/>
        </w:rPr>
        <w:t>4.2 RCT</w:t>
      </w:r>
    </w:p>
    <w:p w14:paraId="458B9EAE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ITT（意向性分析）</w:t>
      </w:r>
    </w:p>
    <w:p w14:paraId="4F4719EA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PP（方案符合集）</w:t>
      </w:r>
    </w:p>
    <w:p w14:paraId="1762090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b/>
          <w:bCs/>
          <w:sz w:val="21"/>
          <w:szCs w:val="21"/>
        </w:rPr>
        <w:t>SAF（安全集）</w:t>
      </w:r>
    </w:p>
    <w:bookmarkEnd w:id="55"/>
    <w:p w14:paraId="5131E516">
      <w:pPr>
        <w:bidi w:val="0"/>
        <w:rPr>
          <w:rFonts w:hint="eastAsia" w:ascii="楷体" w:hAnsi="楷体" w:eastAsia="楷体" w:cs="楷体"/>
          <w:b/>
          <w:bCs/>
        </w:rPr>
      </w:pPr>
      <w:bookmarkStart w:id="56" w:name="工程验证"/>
      <w:r>
        <w:rPr>
          <w:rFonts w:hint="eastAsia" w:ascii="楷体" w:hAnsi="楷体" w:eastAsia="楷体" w:cs="楷体"/>
          <w:b/>
          <w:bCs/>
        </w:rPr>
        <w:t>4.3 工程验证</w:t>
      </w:r>
    </w:p>
    <w:p w14:paraId="1952D79D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完整性能测试集</w:t>
      </w:r>
    </w:p>
    <w:p w14:paraId="4B67A150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操作重复性数据集</w:t>
      </w:r>
    </w:p>
    <w:bookmarkEnd w:id="56"/>
    <w:p w14:paraId="06FFF6AA">
      <w:pPr>
        <w:bidi w:val="0"/>
        <w:rPr>
          <w:rFonts w:hint="eastAsia" w:ascii="楷体" w:hAnsi="楷体" w:eastAsia="楷体" w:cs="楷体"/>
          <w:b/>
          <w:bCs/>
        </w:rPr>
      </w:pPr>
      <w:bookmarkStart w:id="57" w:name="ai-模型"/>
      <w:r>
        <w:rPr>
          <w:rFonts w:hint="eastAsia" w:ascii="楷体" w:hAnsi="楷体" w:eastAsia="楷体" w:cs="楷体"/>
          <w:b/>
          <w:bCs/>
        </w:rPr>
        <w:t>4.4 AI 模型</w:t>
      </w:r>
    </w:p>
    <w:p w14:paraId="70270CE5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训练集、验证集、测试集比例</w:t>
      </w:r>
    </w:p>
    <w:p w14:paraId="3E6F49B5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外部验证集定义</w:t>
      </w:r>
    </w:p>
    <w:bookmarkEnd w:id="53"/>
    <w:bookmarkEnd w:id="57"/>
    <w:p w14:paraId="6D16DB23">
      <w:pPr>
        <w:bidi w:val="0"/>
        <w:rPr>
          <w:rFonts w:hint="eastAsia" w:ascii="楷体" w:hAnsi="楷体" w:eastAsia="楷体" w:cs="楷体"/>
          <w:b/>
          <w:bCs/>
        </w:rPr>
      </w:pPr>
      <w:bookmarkStart w:id="58" w:name="数据管理data-management"/>
      <w:r>
        <w:rPr>
          <w:rFonts w:hint="eastAsia" w:ascii="楷体" w:hAnsi="楷体" w:eastAsia="楷体" w:cs="楷体"/>
          <w:b/>
          <w:bCs/>
        </w:rPr>
        <w:t>5. 数据管理（Data Management）</w:t>
      </w:r>
    </w:p>
    <w:p w14:paraId="368D53CA">
      <w:pPr>
        <w:bidi w:val="0"/>
        <w:rPr>
          <w:rFonts w:hint="eastAsia" w:ascii="楷体" w:hAnsi="楷体" w:eastAsia="楷体" w:cs="楷体"/>
          <w:b/>
          <w:bCs/>
        </w:rPr>
      </w:pPr>
      <w:bookmarkStart w:id="59" w:name="数据来源与格式"/>
      <w:r>
        <w:rPr>
          <w:rFonts w:hint="eastAsia" w:ascii="楷体" w:hAnsi="楷体" w:eastAsia="楷体" w:cs="楷体"/>
          <w:b/>
          <w:bCs/>
        </w:rPr>
        <w:t>5.1 数据来源与格式</w:t>
      </w:r>
    </w:p>
    <w:p w14:paraId="4EE974F5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DIDTS 链 / EMR / 工程实验台 / AI 数据库</w:t>
      </w:r>
    </w:p>
    <w:bookmarkEnd w:id="59"/>
    <w:p w14:paraId="7BF4D7E4">
      <w:pPr>
        <w:bidi w:val="0"/>
        <w:rPr>
          <w:rFonts w:hint="eastAsia" w:ascii="楷体" w:hAnsi="楷体" w:eastAsia="楷体" w:cs="楷体"/>
          <w:b/>
          <w:bCs/>
        </w:rPr>
      </w:pPr>
      <w:bookmarkStart w:id="60" w:name="数据清洗"/>
      <w:r>
        <w:rPr>
          <w:rFonts w:hint="eastAsia" w:ascii="楷体" w:hAnsi="楷体" w:eastAsia="楷体" w:cs="楷体"/>
          <w:b/>
          <w:bCs/>
        </w:rPr>
        <w:t>5.2 数据清洗</w:t>
      </w:r>
    </w:p>
    <w:p w14:paraId="769C3FA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缺失值处理</w:t>
      </w:r>
    </w:p>
    <w:p w14:paraId="6D1AFE2F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异常值处理</w:t>
      </w:r>
    </w:p>
    <w:p w14:paraId="7F68FEF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一致性检查流程</w:t>
      </w:r>
    </w:p>
    <w:bookmarkEnd w:id="60"/>
    <w:p w14:paraId="0C8450D3">
      <w:pPr>
        <w:bidi w:val="0"/>
        <w:rPr>
          <w:rFonts w:hint="eastAsia" w:ascii="楷体" w:hAnsi="楷体" w:eastAsia="楷体" w:cs="楷体"/>
          <w:b/>
          <w:bCs/>
        </w:rPr>
      </w:pPr>
      <w:bookmarkStart w:id="61" w:name="数据锁定"/>
      <w:r>
        <w:rPr>
          <w:rFonts w:hint="eastAsia" w:ascii="楷体" w:hAnsi="楷体" w:eastAsia="楷体" w:cs="楷体"/>
          <w:b/>
          <w:bCs/>
        </w:rPr>
        <w:t>5.3 数据锁定</w:t>
      </w:r>
    </w:p>
    <w:p w14:paraId="15B73B10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锁定标准</w:t>
      </w:r>
    </w:p>
    <w:p w14:paraId="5D52F46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版本管理</w:t>
      </w:r>
    </w:p>
    <w:bookmarkEnd w:id="58"/>
    <w:bookmarkEnd w:id="61"/>
    <w:p w14:paraId="616727C3">
      <w:pPr>
        <w:bidi w:val="0"/>
        <w:rPr>
          <w:rFonts w:hint="eastAsia" w:ascii="楷体" w:hAnsi="楷体" w:eastAsia="楷体" w:cs="楷体"/>
          <w:b/>
          <w:bCs/>
        </w:rPr>
      </w:pPr>
      <w:bookmarkStart w:id="62" w:name="统计方法statistical-methods"/>
      <w:r>
        <w:rPr>
          <w:rFonts w:hint="eastAsia" w:ascii="楷体" w:hAnsi="楷体" w:eastAsia="楷体" w:cs="楷体"/>
          <w:b/>
          <w:bCs/>
        </w:rPr>
        <w:t>6. 统计方法（Statistical Methods）</w:t>
      </w:r>
    </w:p>
    <w:p w14:paraId="75C66BF4">
      <w:pPr>
        <w:bidi w:val="0"/>
        <w:rPr>
          <w:rFonts w:hint="eastAsia" w:ascii="楷体" w:hAnsi="楷体" w:eastAsia="楷体" w:cs="楷体"/>
          <w:b/>
          <w:bCs/>
        </w:rPr>
      </w:pPr>
      <w:bookmarkStart w:id="63" w:name="描述性统计"/>
      <w:r>
        <w:rPr>
          <w:rFonts w:hint="eastAsia" w:ascii="楷体" w:hAnsi="楷体" w:eastAsia="楷体" w:cs="楷体"/>
          <w:b/>
          <w:bCs/>
        </w:rPr>
        <w:t>6.1 描述性统计</w:t>
      </w:r>
    </w:p>
    <w:p w14:paraId="53D90DE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连续变量：均值±SD / 中位数[IQR]</w:t>
      </w:r>
    </w:p>
    <w:p w14:paraId="1DCCDF27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分类变量：n (%)</w:t>
      </w:r>
    </w:p>
    <w:bookmarkEnd w:id="63"/>
    <w:p w14:paraId="72501633">
      <w:pPr>
        <w:bidi w:val="0"/>
        <w:rPr>
          <w:rFonts w:hint="eastAsia" w:ascii="楷体" w:hAnsi="楷体" w:eastAsia="楷体" w:cs="楷体"/>
          <w:b/>
          <w:bCs/>
        </w:rPr>
      </w:pPr>
      <w:bookmarkStart w:id="64" w:name="组间比较"/>
      <w:r>
        <w:rPr>
          <w:rFonts w:hint="eastAsia" w:ascii="楷体" w:hAnsi="楷体" w:eastAsia="楷体" w:cs="楷体"/>
          <w:b/>
          <w:bCs/>
        </w:rPr>
        <w:t>6.2 组间比较</w:t>
      </w:r>
    </w:p>
    <w:p w14:paraId="4452AF8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t 检验 / Mann–Whitney U</w:t>
      </w:r>
    </w:p>
    <w:p w14:paraId="1561E8F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χ² 或 Fisher</w:t>
      </w:r>
    </w:p>
    <w:p w14:paraId="1ECF954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ANOVA / Kruskal–Wallis</w:t>
      </w:r>
    </w:p>
    <w:bookmarkEnd w:id="64"/>
    <w:p w14:paraId="322D6032">
      <w:pPr>
        <w:bidi w:val="0"/>
        <w:rPr>
          <w:rFonts w:hint="eastAsia" w:ascii="楷体" w:hAnsi="楷体" w:eastAsia="楷体" w:cs="楷体"/>
          <w:b/>
          <w:bCs/>
        </w:rPr>
      </w:pPr>
      <w:bookmarkStart w:id="65" w:name="回归分析"/>
      <w:r>
        <w:rPr>
          <w:rFonts w:hint="eastAsia" w:ascii="楷体" w:hAnsi="楷体" w:eastAsia="楷体" w:cs="楷体"/>
          <w:b/>
          <w:bCs/>
        </w:rPr>
        <w:t>6.3 回归分析</w:t>
      </w:r>
    </w:p>
    <w:p w14:paraId="2AE0B4B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Logistic 回归（OR + 95%CI）</w:t>
      </w:r>
    </w:p>
    <w:p w14:paraId="054082F8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Cox 回归（HR + 95%CI）</w:t>
      </w:r>
    </w:p>
    <w:p w14:paraId="39EBCB8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LASSO / 多变量模型</w:t>
      </w:r>
    </w:p>
    <w:bookmarkEnd w:id="65"/>
    <w:p w14:paraId="25471D56">
      <w:pPr>
        <w:bidi w:val="0"/>
        <w:rPr>
          <w:rFonts w:hint="eastAsia" w:ascii="楷体" w:hAnsi="楷体" w:eastAsia="楷体" w:cs="楷体"/>
          <w:b/>
          <w:bCs/>
        </w:rPr>
      </w:pPr>
      <w:bookmarkStart w:id="66" w:name="生存分析如适用"/>
      <w:r>
        <w:rPr>
          <w:rFonts w:hint="eastAsia" w:ascii="楷体" w:hAnsi="楷体" w:eastAsia="楷体" w:cs="楷体"/>
          <w:b/>
          <w:bCs/>
        </w:rPr>
        <w:t>6.4 生存分析（如适用）</w:t>
      </w:r>
    </w:p>
    <w:p w14:paraId="046B2BD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Kaplan–Meier 曲线</w:t>
      </w:r>
    </w:p>
    <w:p w14:paraId="6C80CA28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Log-rank 检验</w:t>
      </w:r>
    </w:p>
    <w:bookmarkEnd w:id="66"/>
    <w:p w14:paraId="315F9141">
      <w:pPr>
        <w:bidi w:val="0"/>
        <w:rPr>
          <w:rFonts w:hint="eastAsia" w:ascii="楷体" w:hAnsi="楷体" w:eastAsia="楷体" w:cs="楷体"/>
          <w:b/>
          <w:bCs/>
        </w:rPr>
      </w:pPr>
      <w:bookmarkStart w:id="67" w:name="敏感性分析"/>
      <w:r>
        <w:rPr>
          <w:rFonts w:hint="eastAsia" w:ascii="楷体" w:hAnsi="楷体" w:eastAsia="楷体" w:cs="楷体"/>
          <w:b/>
          <w:bCs/>
        </w:rPr>
        <w:t>6.5 敏感性分析</w:t>
      </w:r>
    </w:p>
    <w:p w14:paraId="534C26A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处理缺失数据的不同策略</w:t>
      </w:r>
    </w:p>
    <w:p w14:paraId="23E1870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不同模型设定的稳定性</w:t>
      </w:r>
    </w:p>
    <w:bookmarkEnd w:id="67"/>
    <w:p w14:paraId="7A6C67FC">
      <w:pPr>
        <w:bidi w:val="0"/>
        <w:rPr>
          <w:rFonts w:hint="eastAsia" w:ascii="楷体" w:hAnsi="楷体" w:eastAsia="楷体" w:cs="楷体"/>
          <w:b/>
          <w:bCs/>
        </w:rPr>
      </w:pPr>
      <w:bookmarkStart w:id="68" w:name="子组分析如适用"/>
      <w:r>
        <w:rPr>
          <w:rFonts w:hint="eastAsia" w:ascii="楷体" w:hAnsi="楷体" w:eastAsia="楷体" w:cs="楷体"/>
          <w:b/>
          <w:bCs/>
        </w:rPr>
        <w:t>6.6 子组分析（如适用）</w:t>
      </w:r>
    </w:p>
    <w:p w14:paraId="7F6CCEF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按性别/年龄/病种/手术方式</w:t>
      </w:r>
    </w:p>
    <w:bookmarkEnd w:id="68"/>
    <w:p w14:paraId="059A3439">
      <w:pPr>
        <w:bidi w:val="0"/>
        <w:rPr>
          <w:rFonts w:hint="eastAsia" w:ascii="楷体" w:hAnsi="楷体" w:eastAsia="楷体" w:cs="楷体"/>
          <w:b/>
          <w:bCs/>
        </w:rPr>
      </w:pPr>
      <w:bookmarkStart w:id="69" w:name="ai-模型特有分析如适用"/>
      <w:r>
        <w:rPr>
          <w:rFonts w:hint="eastAsia" w:ascii="楷体" w:hAnsi="楷体" w:eastAsia="楷体" w:cs="楷体"/>
          <w:b/>
          <w:bCs/>
        </w:rPr>
        <w:t>6.7 AI 模型特有分析（如适用）</w:t>
      </w:r>
    </w:p>
    <w:p w14:paraId="5E837ABA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ROC / AUC</w:t>
      </w:r>
    </w:p>
    <w:p w14:paraId="3298024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Precision/Recall/F1</w:t>
      </w:r>
    </w:p>
    <w:p w14:paraId="0BBA179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MAE/MSE</w:t>
      </w:r>
    </w:p>
    <w:p w14:paraId="13DF7DC8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外部验证一致性</w:t>
      </w:r>
    </w:p>
    <w:bookmarkEnd w:id="69"/>
    <w:p w14:paraId="677465AB">
      <w:pPr>
        <w:bidi w:val="0"/>
        <w:rPr>
          <w:rFonts w:hint="eastAsia" w:ascii="楷体" w:hAnsi="楷体" w:eastAsia="楷体" w:cs="楷体"/>
          <w:b/>
          <w:bCs/>
        </w:rPr>
      </w:pPr>
      <w:bookmarkStart w:id="70" w:name="工程类分析如适用"/>
      <w:r>
        <w:rPr>
          <w:rFonts w:hint="eastAsia" w:ascii="楷体" w:hAnsi="楷体" w:eastAsia="楷体" w:cs="楷体"/>
          <w:b/>
          <w:bCs/>
        </w:rPr>
        <w:t>6.8 工程类分析（如适用）</w:t>
      </w:r>
    </w:p>
    <w:p w14:paraId="396724A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重复性指标（CV%）</w:t>
      </w:r>
    </w:p>
    <w:p w14:paraId="3CEEA6FA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精度分析（Bland–Altman）</w:t>
      </w:r>
    </w:p>
    <w:p w14:paraId="0AB607F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一致性评估（ICC）</w:t>
      </w:r>
    </w:p>
    <w:bookmarkEnd w:id="62"/>
    <w:bookmarkEnd w:id="70"/>
    <w:p w14:paraId="1906AAB5">
      <w:pPr>
        <w:bidi w:val="0"/>
        <w:rPr>
          <w:rFonts w:hint="eastAsia" w:ascii="楷体" w:hAnsi="楷体" w:eastAsia="楷体" w:cs="楷体"/>
          <w:b/>
          <w:bCs/>
        </w:rPr>
      </w:pPr>
      <w:bookmarkStart w:id="71" w:name="样本量估计sample-size-estimation"/>
      <w:r>
        <w:rPr>
          <w:rFonts w:hint="eastAsia" w:ascii="楷体" w:hAnsi="楷体" w:eastAsia="楷体" w:cs="楷体"/>
          <w:b/>
          <w:bCs/>
        </w:rPr>
        <w:t>7. 样本量估计（Sample Size Estimation）</w:t>
      </w:r>
    </w:p>
    <w:p w14:paraId="2EA3FD1B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说明： - 方法（比例差/均值差/生存差） - α、β、效应量 - 预计脱落率</w:t>
      </w:r>
    </w:p>
    <w:bookmarkEnd w:id="71"/>
    <w:p w14:paraId="2968738B">
      <w:pPr>
        <w:bidi w:val="0"/>
        <w:rPr>
          <w:rFonts w:hint="eastAsia" w:ascii="楷体" w:hAnsi="楷体" w:eastAsia="楷体" w:cs="楷体"/>
          <w:b/>
          <w:bCs/>
        </w:rPr>
      </w:pPr>
      <w:bookmarkStart w:id="72" w:name="缺失数据处理missing-data-handling"/>
      <w:r>
        <w:rPr>
          <w:rFonts w:hint="eastAsia" w:ascii="楷体" w:hAnsi="楷体" w:eastAsia="楷体" w:cs="楷体"/>
          <w:b/>
          <w:bCs/>
        </w:rPr>
        <w:t>8. 缺失数据处理（Missing Data Handling）</w:t>
      </w:r>
    </w:p>
    <w:p w14:paraId="2368939E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完全案例分析（CCA）</w:t>
      </w:r>
    </w:p>
    <w:p w14:paraId="63B26B08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多重插补（MI）</w:t>
      </w:r>
    </w:p>
    <w:p w14:paraId="151DA44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Last Observation Carried Forward（LOCF）（谨慎使用）</w:t>
      </w:r>
    </w:p>
    <w:bookmarkEnd w:id="72"/>
    <w:p w14:paraId="167A5D43">
      <w:pPr>
        <w:bidi w:val="0"/>
        <w:rPr>
          <w:rFonts w:hint="eastAsia" w:ascii="楷体" w:hAnsi="楷体" w:eastAsia="楷体" w:cs="楷体"/>
          <w:b/>
          <w:bCs/>
        </w:rPr>
      </w:pPr>
      <w:bookmarkStart w:id="73" w:name="中期分析interim-analysisrct-专用"/>
      <w:r>
        <w:rPr>
          <w:rFonts w:hint="eastAsia" w:ascii="楷体" w:hAnsi="楷体" w:eastAsia="楷体" w:cs="楷体"/>
          <w:b/>
          <w:bCs/>
        </w:rPr>
        <w:t>9. 中期分析（Interim Analysis）（RCT 专用）</w:t>
      </w:r>
    </w:p>
    <w:p w14:paraId="3892954F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触发条件</w:t>
      </w:r>
    </w:p>
    <w:p w14:paraId="4B21BC37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盲态保持要求</w:t>
      </w:r>
    </w:p>
    <w:p w14:paraId="7EE96C0E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α 花费函数（如 O’Brien–Fleming）</w:t>
      </w:r>
    </w:p>
    <w:bookmarkEnd w:id="73"/>
    <w:p w14:paraId="45CE37DB">
      <w:pPr>
        <w:bidi w:val="0"/>
        <w:rPr>
          <w:rFonts w:hint="eastAsia" w:ascii="楷体" w:hAnsi="楷体" w:eastAsia="楷体" w:cs="楷体"/>
          <w:b/>
          <w:bCs/>
        </w:rPr>
      </w:pPr>
      <w:bookmarkStart w:id="74" w:name="软件与版本statistical-software"/>
      <w:r>
        <w:rPr>
          <w:rFonts w:hint="eastAsia" w:ascii="楷体" w:hAnsi="楷体" w:eastAsia="楷体" w:cs="楷体"/>
          <w:b/>
          <w:bCs/>
        </w:rPr>
        <w:t>10. 软件与版本（Statistical Software）</w:t>
      </w:r>
    </w:p>
    <w:p w14:paraId="29CA6070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R（版本号）</w:t>
      </w:r>
    </w:p>
    <w:p w14:paraId="2194D77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Python（版本号；scikit-learn/pytorch）</w:t>
      </w:r>
    </w:p>
    <w:p w14:paraId="2539C7D0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SPSS/SAS（如使用）</w:t>
      </w:r>
    </w:p>
    <w:bookmarkEnd w:id="74"/>
    <w:p w14:paraId="5849D51F">
      <w:pPr>
        <w:bidi w:val="0"/>
        <w:rPr>
          <w:rFonts w:hint="eastAsia" w:ascii="楷体" w:hAnsi="楷体" w:eastAsia="楷体" w:cs="楷体"/>
          <w:b/>
          <w:bCs/>
        </w:rPr>
      </w:pPr>
      <w:bookmarkStart w:id="75" w:name="图表计划table-shells-figures"/>
      <w:r>
        <w:rPr>
          <w:rFonts w:hint="eastAsia" w:ascii="楷体" w:hAnsi="楷体" w:eastAsia="楷体" w:cs="楷体"/>
          <w:b/>
          <w:bCs/>
        </w:rPr>
        <w:t>11. 图表计划（Table Shells &amp; Figures）</w:t>
      </w:r>
    </w:p>
    <w:p w14:paraId="363F10A0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需提前设定： - 基线特征表（Table 1） - 主要终点分析表 - 次要终点分析表 - 回归模型表 - 生存曲线图 - 散点图/ROC 曲线图</w:t>
      </w:r>
    </w:p>
    <w:bookmarkEnd w:id="75"/>
    <w:p w14:paraId="0B37413D">
      <w:pPr>
        <w:bidi w:val="0"/>
        <w:rPr>
          <w:rFonts w:hint="eastAsia" w:ascii="楷体" w:hAnsi="楷体" w:eastAsia="楷体" w:cs="楷体"/>
          <w:b/>
          <w:bCs/>
        </w:rPr>
      </w:pPr>
      <w:bookmarkStart w:id="76" w:name="偏倚控制bias-control"/>
      <w:r>
        <w:rPr>
          <w:rFonts w:hint="eastAsia" w:ascii="楷体" w:hAnsi="楷体" w:eastAsia="楷体" w:cs="楷体"/>
          <w:b/>
          <w:bCs/>
        </w:rPr>
        <w:t>12. 偏倚控制（Bias Control）</w:t>
      </w:r>
    </w:p>
    <w:p w14:paraId="2A0FEF9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混杂控制策略</w:t>
      </w:r>
    </w:p>
    <w:p w14:paraId="214CD3EB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分层分析</w:t>
      </w:r>
    </w:p>
    <w:p w14:paraId="61AB460C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匹配：PSM/IPTW（如需要）</w:t>
      </w:r>
    </w:p>
    <w:bookmarkEnd w:id="76"/>
    <w:p w14:paraId="2B6BA483">
      <w:pPr>
        <w:bidi w:val="0"/>
        <w:rPr>
          <w:rFonts w:hint="eastAsia" w:ascii="楷体" w:hAnsi="楷体" w:eastAsia="楷体" w:cs="楷体"/>
          <w:b/>
          <w:bCs/>
        </w:rPr>
      </w:pPr>
      <w:bookmarkStart w:id="77" w:name="伦理与数据安全"/>
      <w:r>
        <w:rPr>
          <w:rFonts w:hint="eastAsia" w:ascii="楷体" w:hAnsi="楷体" w:eastAsia="楷体" w:cs="楷体"/>
          <w:b/>
          <w:bCs/>
        </w:rPr>
        <w:t>13. 伦理与数据安全</w:t>
      </w:r>
    </w:p>
    <w:p w14:paraId="5CA30EE0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审批编号</w:t>
      </w:r>
    </w:p>
    <w:p w14:paraId="0FE5C635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数据脱敏标准</w:t>
      </w:r>
    </w:p>
    <w:p w14:paraId="4EAEE3E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数据传输安全</w:t>
      </w:r>
    </w:p>
    <w:bookmarkEnd w:id="77"/>
    <w:p w14:paraId="3493DA13">
      <w:pPr>
        <w:bidi w:val="0"/>
        <w:rPr>
          <w:rFonts w:hint="eastAsia" w:ascii="楷体" w:hAnsi="楷体" w:eastAsia="楷体" w:cs="楷体"/>
          <w:b/>
          <w:bCs/>
        </w:rPr>
      </w:pPr>
      <w:bookmarkStart w:id="78" w:name="附件"/>
      <w:r>
        <w:rPr>
          <w:rFonts w:hint="eastAsia" w:ascii="楷体" w:hAnsi="楷体" w:eastAsia="楷体" w:cs="楷体"/>
          <w:b/>
          <w:bCs/>
        </w:rPr>
        <w:t>14. 附件</w:t>
      </w:r>
    </w:p>
    <w:p w14:paraId="0345D45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Table Shells 模板</w:t>
      </w:r>
    </w:p>
    <w:p w14:paraId="0CD74577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回归模型输入说明</w:t>
      </w:r>
    </w:p>
    <w:p w14:paraId="397BDE66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指标定义表</w:t>
      </w:r>
    </w:p>
    <w:p w14:paraId="7CBA61F4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以上 SAP 模板可直接用于：临床项目、RWS、RCT、工程验证以及 AI 模型研究。</w:t>
      </w:r>
    </w:p>
    <w:bookmarkEnd w:id="78"/>
    <w:p w14:paraId="0280032D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附件6 </w:t>
      </w:r>
      <w:r>
        <w:rPr>
          <w:rFonts w:hint="eastAsia" w:ascii="黑体" w:hAnsi="黑体" w:eastAsia="黑体" w:cs="黑体"/>
        </w:rPr>
        <w:t>CRF 模板（RWS/工程/AI 三套）</w:t>
      </w:r>
    </w:p>
    <w:p w14:paraId="78D6A594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bookmarkStart w:id="79" w:name="三crf-模板ai研究版"/>
      <w:bookmarkStart w:id="80" w:name="模型评估crf"/>
      <w:r>
        <w:rPr>
          <w:rFonts w:hint="eastAsia" w:ascii="楷体" w:hAnsi="楷体" w:eastAsia="楷体" w:cs="楷体"/>
          <w:sz w:val="21"/>
          <w:szCs w:val="21"/>
        </w:rPr>
        <w:t>（RWS / 工程验证 / AI 研究 三套标准化模板）</w:t>
      </w:r>
    </w:p>
    <w:p w14:paraId="463FE118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本附件为科研生产线（</w:t>
      </w:r>
      <w:r>
        <w:rPr>
          <w:rFonts w:hint="eastAsia" w:ascii="楷体" w:hAnsi="楷体" w:eastAsia="楷体" w:cs="楷体"/>
          <w:sz w:val="21"/>
          <w:szCs w:val="21"/>
          <w:lang w:eastAsia="zh-CN"/>
        </w:rPr>
        <w:t>SRWS</w:t>
      </w:r>
      <w:r>
        <w:rPr>
          <w:rFonts w:hint="eastAsia" w:ascii="楷体" w:hAnsi="楷体" w:eastAsia="楷体" w:cs="楷体"/>
          <w:sz w:val="21"/>
          <w:szCs w:val="21"/>
        </w:rPr>
        <w:t>）专用 CRF 模板，适用于以下三类项目：</w:t>
      </w:r>
    </w:p>
    <w:p w14:paraId="19FE9837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RWS（真实世界研究）</w:t>
      </w:r>
    </w:p>
    <w:p w14:paraId="31675C5D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工程类器械验证（Design Verification &amp; Validation）</w:t>
      </w:r>
    </w:p>
    <w:p w14:paraId="5BE807D6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AI智能系统研究数据采集（含 EMR / 图像 / 语音）</w:t>
      </w:r>
    </w:p>
    <w:p w14:paraId="336EE925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模板采用可复制结构，适用于 DIDTS 数据库链的统一编码格式。</w:t>
      </w:r>
    </w:p>
    <w:p w14:paraId="01685030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一、CRF 模板（RWS版）</w:t>
      </w:r>
    </w:p>
    <w:p w14:paraId="7148C8A8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【1】基本信息模块</w:t>
      </w:r>
    </w:p>
    <w:p w14:paraId="2830D85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研究编号：</w:t>
      </w:r>
    </w:p>
    <w:p w14:paraId="2E305F80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入组日期：</w:t>
      </w:r>
    </w:p>
    <w:p w14:paraId="1DD34F84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入组类型：前瞻性 / 回顾性</w:t>
      </w:r>
    </w:p>
    <w:p w14:paraId="4FF8B93F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研究中心：</w:t>
      </w:r>
    </w:p>
    <w:p w14:paraId="14619617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调查者姓名：</w:t>
      </w:r>
    </w:p>
    <w:p w14:paraId="0F75D408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【2】患者基本资料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477"/>
        <w:gridCol w:w="4146"/>
        <w:gridCol w:w="1348"/>
        <w:gridCol w:w="1776"/>
      </w:tblGrid>
      <w:tr w14:paraId="2B47EE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432" w:type="dxa"/>
            <w:shd w:val="clear" w:color="auto" w:fill="auto"/>
            <w:vAlign w:val="center"/>
          </w:tcPr>
          <w:p w14:paraId="71747248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1"/>
                <w:szCs w:val="21"/>
                <w:lang w:val="en-US" w:eastAsia="zh-CN" w:bidi="ar"/>
              </w:rPr>
              <w:t>字段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431CC789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1"/>
                <w:szCs w:val="21"/>
                <w:lang w:val="en-US" w:eastAsia="zh-CN" w:bidi="ar"/>
              </w:rPr>
              <w:t>说明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8284BAF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1"/>
                <w:szCs w:val="21"/>
                <w:lang w:val="en-US" w:eastAsia="zh-CN" w:bidi="ar"/>
              </w:rPr>
              <w:t>类型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62F4CF42">
            <w:pPr>
              <w:keepNext w:val="0"/>
              <w:keepLines w:val="0"/>
              <w:widowControl/>
              <w:suppressLineNumbers w:val="0"/>
              <w:snapToGrid w:val="0"/>
              <w:jc w:val="center"/>
              <w:rPr>
                <w:rFonts w:hint="eastAsia" w:ascii="楷体" w:hAnsi="楷体" w:eastAsia="楷体" w:cs="楷体"/>
                <w:b/>
                <w:bCs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kern w:val="0"/>
                <w:sz w:val="21"/>
                <w:szCs w:val="21"/>
                <w:lang w:val="en-US" w:eastAsia="zh-CN" w:bidi="ar"/>
              </w:rPr>
              <w:t>编码</w:t>
            </w:r>
          </w:p>
        </w:tc>
      </w:tr>
      <w:tr w14:paraId="1C514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432" w:type="dxa"/>
            <w:shd w:val="clear" w:color="auto" w:fill="auto"/>
            <w:vAlign w:val="center"/>
          </w:tcPr>
          <w:p w14:paraId="4583B121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患者ID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7FE63B7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DIDTS唯一编码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2A761FF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字符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20F745F2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自动生成</w:t>
            </w:r>
          </w:p>
        </w:tc>
      </w:tr>
      <w:tr w14:paraId="719D81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432" w:type="dxa"/>
            <w:shd w:val="clear" w:color="auto" w:fill="auto"/>
            <w:vAlign w:val="center"/>
          </w:tcPr>
          <w:p w14:paraId="50082797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性别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27AD6B3D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男/女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0E9FC721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枚举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FB8A760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1/2</w:t>
            </w:r>
          </w:p>
        </w:tc>
      </w:tr>
      <w:tr w14:paraId="7675C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432" w:type="dxa"/>
            <w:shd w:val="clear" w:color="auto" w:fill="auto"/>
            <w:vAlign w:val="center"/>
          </w:tcPr>
          <w:p w14:paraId="32C1F085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年龄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5C11B09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岁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F60104D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4A731D47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3CD65A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432" w:type="dxa"/>
            <w:shd w:val="clear" w:color="auto" w:fill="auto"/>
            <w:vAlign w:val="center"/>
          </w:tcPr>
          <w:p w14:paraId="36ABAEC7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BMI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724A02FF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kg/m²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53CCC2B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7EAA0871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42DF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432" w:type="dxa"/>
            <w:shd w:val="clear" w:color="auto" w:fill="auto"/>
            <w:vAlign w:val="center"/>
          </w:tcPr>
          <w:p w14:paraId="3D2A1F2F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主诉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3279F34C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文本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181C4187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长文本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047191BE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3C99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432" w:type="dxa"/>
            <w:shd w:val="clear" w:color="auto" w:fill="auto"/>
            <w:vAlign w:val="center"/>
          </w:tcPr>
          <w:p w14:paraId="5C56F0E0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既往史</w:t>
            </w:r>
          </w:p>
        </w:tc>
        <w:tc>
          <w:tcPr>
            <w:tcW w:w="4116" w:type="dxa"/>
            <w:shd w:val="clear" w:color="auto" w:fill="auto"/>
            <w:vAlign w:val="center"/>
          </w:tcPr>
          <w:p w14:paraId="21DBC45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高血压/糖尿病/冠心病</w:t>
            </w:r>
          </w:p>
        </w:tc>
        <w:tc>
          <w:tcPr>
            <w:tcW w:w="1318" w:type="dxa"/>
            <w:shd w:val="clear" w:color="auto" w:fill="auto"/>
            <w:vAlign w:val="center"/>
          </w:tcPr>
          <w:p w14:paraId="7EFBFEC7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多选</w:t>
            </w:r>
          </w:p>
        </w:tc>
        <w:tc>
          <w:tcPr>
            <w:tcW w:w="1731" w:type="dxa"/>
            <w:shd w:val="clear" w:color="auto" w:fill="auto"/>
            <w:vAlign w:val="center"/>
          </w:tcPr>
          <w:p w14:paraId="799062AF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0/1</w:t>
            </w:r>
          </w:p>
        </w:tc>
      </w:tr>
    </w:tbl>
    <w:p w14:paraId="4B5E9355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【3】术前评估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27"/>
        <w:gridCol w:w="919"/>
        <w:gridCol w:w="1883"/>
        <w:gridCol w:w="1718"/>
      </w:tblGrid>
      <w:tr w14:paraId="66635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4182" w:type="dxa"/>
            <w:shd w:val="clear" w:color="auto" w:fill="auto"/>
            <w:vAlign w:val="center"/>
          </w:tcPr>
          <w:p w14:paraId="03E760F7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3C9A672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类型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05FB0B3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73536D7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来源</w:t>
            </w:r>
          </w:p>
        </w:tc>
      </w:tr>
      <w:tr w14:paraId="55366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182" w:type="dxa"/>
            <w:shd w:val="clear" w:color="auto" w:fill="auto"/>
            <w:vAlign w:val="center"/>
          </w:tcPr>
          <w:p w14:paraId="46EB09A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ASA 分级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6F354AB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枚举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41F1A53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I–IV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2BB3BF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麻醉科</w:t>
            </w:r>
          </w:p>
        </w:tc>
      </w:tr>
      <w:tr w14:paraId="6795C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182" w:type="dxa"/>
            <w:shd w:val="clear" w:color="auto" w:fill="auto"/>
            <w:vAlign w:val="center"/>
          </w:tcPr>
          <w:p w14:paraId="3893297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Charlson评分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651AE63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708E2EC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59B0852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病历</w:t>
            </w:r>
          </w:p>
        </w:tc>
      </w:tr>
      <w:tr w14:paraId="07B4F5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182" w:type="dxa"/>
            <w:shd w:val="clear" w:color="auto" w:fill="auto"/>
            <w:vAlign w:val="center"/>
          </w:tcPr>
          <w:p w14:paraId="0535B80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心肺功能评估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2D839E7E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枚举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4E1B53B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正常/异常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428F324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检查报告</w:t>
            </w:r>
          </w:p>
        </w:tc>
      </w:tr>
      <w:tr w14:paraId="30D11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182" w:type="dxa"/>
            <w:shd w:val="clear" w:color="auto" w:fill="auto"/>
            <w:vAlign w:val="center"/>
          </w:tcPr>
          <w:p w14:paraId="25FE2D0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实验室检查（Hb、Alb）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629C7139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  <w:tc>
          <w:tcPr>
            <w:tcW w:w="1853" w:type="dxa"/>
            <w:shd w:val="clear" w:color="auto" w:fill="auto"/>
            <w:vAlign w:val="center"/>
          </w:tcPr>
          <w:p w14:paraId="7CC4FD5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g/L</w:t>
            </w:r>
          </w:p>
        </w:tc>
        <w:tc>
          <w:tcPr>
            <w:tcW w:w="1673" w:type="dxa"/>
            <w:shd w:val="clear" w:color="auto" w:fill="auto"/>
            <w:vAlign w:val="center"/>
          </w:tcPr>
          <w:p w14:paraId="34C54CC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LIS</w:t>
            </w:r>
          </w:p>
        </w:tc>
      </w:tr>
    </w:tbl>
    <w:p w14:paraId="038C258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【4】术中资料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59"/>
        <w:gridCol w:w="1204"/>
        <w:gridCol w:w="4784"/>
      </w:tblGrid>
      <w:tr w14:paraId="1C0B3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714" w:type="dxa"/>
            <w:shd w:val="clear" w:color="auto" w:fill="auto"/>
            <w:vAlign w:val="center"/>
          </w:tcPr>
          <w:p w14:paraId="0439FB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D3A2A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类型</w:t>
            </w:r>
          </w:p>
        </w:tc>
        <w:tc>
          <w:tcPr>
            <w:tcW w:w="4739" w:type="dxa"/>
            <w:shd w:val="clear" w:color="auto" w:fill="auto"/>
            <w:vAlign w:val="center"/>
          </w:tcPr>
          <w:p w14:paraId="67C8D5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3084E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14" w:type="dxa"/>
            <w:shd w:val="clear" w:color="auto" w:fill="auto"/>
            <w:vAlign w:val="center"/>
          </w:tcPr>
          <w:p w14:paraId="7BF508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手术方式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60A13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枚举</w:t>
            </w:r>
          </w:p>
        </w:tc>
        <w:tc>
          <w:tcPr>
            <w:tcW w:w="4739" w:type="dxa"/>
            <w:shd w:val="clear" w:color="auto" w:fill="auto"/>
            <w:vAlign w:val="center"/>
          </w:tcPr>
          <w:p w14:paraId="044656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TME/Miles/胃切除等</w:t>
            </w:r>
          </w:p>
        </w:tc>
      </w:tr>
      <w:tr w14:paraId="6F973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14" w:type="dxa"/>
            <w:shd w:val="clear" w:color="auto" w:fill="auto"/>
            <w:vAlign w:val="center"/>
          </w:tcPr>
          <w:p w14:paraId="4F9985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手术时间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433B39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  <w:tc>
          <w:tcPr>
            <w:tcW w:w="4739" w:type="dxa"/>
            <w:shd w:val="clear" w:color="auto" w:fill="auto"/>
            <w:vAlign w:val="center"/>
          </w:tcPr>
          <w:p w14:paraId="3F8682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分钟</w:t>
            </w:r>
          </w:p>
        </w:tc>
      </w:tr>
      <w:tr w14:paraId="34E06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14" w:type="dxa"/>
            <w:shd w:val="clear" w:color="auto" w:fill="auto"/>
            <w:vAlign w:val="center"/>
          </w:tcPr>
          <w:p w14:paraId="087A5D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出血量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FAFD9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  <w:tc>
          <w:tcPr>
            <w:tcW w:w="4739" w:type="dxa"/>
            <w:shd w:val="clear" w:color="auto" w:fill="auto"/>
            <w:vAlign w:val="center"/>
          </w:tcPr>
          <w:p w14:paraId="3EA377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mL</w:t>
            </w:r>
          </w:p>
        </w:tc>
      </w:tr>
      <w:tr w14:paraId="31C029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14" w:type="dxa"/>
            <w:shd w:val="clear" w:color="auto" w:fill="auto"/>
            <w:vAlign w:val="center"/>
          </w:tcPr>
          <w:p w14:paraId="753D18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是否转换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51456E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枚举</w:t>
            </w:r>
          </w:p>
        </w:tc>
        <w:tc>
          <w:tcPr>
            <w:tcW w:w="4739" w:type="dxa"/>
            <w:shd w:val="clear" w:color="auto" w:fill="auto"/>
            <w:vAlign w:val="center"/>
          </w:tcPr>
          <w:p w14:paraId="31C1A0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是/否</w:t>
            </w:r>
          </w:p>
        </w:tc>
      </w:tr>
      <w:tr w14:paraId="47C33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14" w:type="dxa"/>
            <w:shd w:val="clear" w:color="auto" w:fill="auto"/>
            <w:vAlign w:val="center"/>
          </w:tcPr>
          <w:p w14:paraId="4C738B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转换原因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25C68F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文本</w:t>
            </w:r>
          </w:p>
        </w:tc>
        <w:tc>
          <w:tcPr>
            <w:tcW w:w="4739" w:type="dxa"/>
            <w:shd w:val="clear" w:color="auto" w:fill="auto"/>
            <w:vAlign w:val="center"/>
          </w:tcPr>
          <w:p w14:paraId="7D5806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6B9A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14" w:type="dxa"/>
            <w:shd w:val="clear" w:color="auto" w:fill="auto"/>
            <w:vAlign w:val="center"/>
          </w:tcPr>
          <w:p w14:paraId="5C2BB7A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术中并发症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045FC1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枚举</w:t>
            </w:r>
          </w:p>
        </w:tc>
        <w:tc>
          <w:tcPr>
            <w:tcW w:w="4739" w:type="dxa"/>
            <w:shd w:val="clear" w:color="auto" w:fill="auto"/>
            <w:vAlign w:val="center"/>
          </w:tcPr>
          <w:p w14:paraId="34EAB9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详列</w:t>
            </w:r>
          </w:p>
        </w:tc>
      </w:tr>
    </w:tbl>
    <w:p w14:paraId="09005390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【5】术后住院资料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26"/>
        <w:gridCol w:w="1794"/>
        <w:gridCol w:w="1527"/>
      </w:tblGrid>
      <w:tr w14:paraId="4F9D7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5381" w:type="dxa"/>
            <w:shd w:val="clear" w:color="auto" w:fill="auto"/>
            <w:vAlign w:val="center"/>
          </w:tcPr>
          <w:p w14:paraId="199FED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4C13BC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类型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59A460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</w:tc>
      </w:tr>
      <w:tr w14:paraId="240FE2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81" w:type="dxa"/>
            <w:shd w:val="clear" w:color="auto" w:fill="auto"/>
            <w:vAlign w:val="center"/>
          </w:tcPr>
          <w:p w14:paraId="779532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排气时间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FBC24C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0E517E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h</w:t>
            </w:r>
          </w:p>
        </w:tc>
      </w:tr>
      <w:tr w14:paraId="3A8E4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81" w:type="dxa"/>
            <w:shd w:val="clear" w:color="auto" w:fill="auto"/>
            <w:vAlign w:val="center"/>
          </w:tcPr>
          <w:p w14:paraId="369881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排便时间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78A15F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61054E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h</w:t>
            </w:r>
          </w:p>
        </w:tc>
      </w:tr>
      <w:tr w14:paraId="1DDF53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81" w:type="dxa"/>
            <w:shd w:val="clear" w:color="auto" w:fill="auto"/>
            <w:vAlign w:val="center"/>
          </w:tcPr>
          <w:p w14:paraId="7CFDF3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下床时间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1F90F2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3500BD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h</w:t>
            </w:r>
          </w:p>
        </w:tc>
      </w:tr>
      <w:tr w14:paraId="46FA8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81" w:type="dxa"/>
            <w:shd w:val="clear" w:color="auto" w:fill="auto"/>
            <w:vAlign w:val="center"/>
          </w:tcPr>
          <w:p w14:paraId="0966B1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并发症（CD分级）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033925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枚举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02627C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I–V</w:t>
            </w:r>
          </w:p>
        </w:tc>
      </w:tr>
      <w:tr w14:paraId="13417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81" w:type="dxa"/>
            <w:shd w:val="clear" w:color="auto" w:fill="auto"/>
            <w:vAlign w:val="center"/>
          </w:tcPr>
          <w:p w14:paraId="4A1EC2C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再手术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3F88CE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是/否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23481D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-</w:t>
            </w:r>
          </w:p>
        </w:tc>
      </w:tr>
      <w:tr w14:paraId="4B294D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81" w:type="dxa"/>
            <w:shd w:val="clear" w:color="auto" w:fill="auto"/>
            <w:vAlign w:val="center"/>
          </w:tcPr>
          <w:p w14:paraId="0E23F5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住院天数</w:t>
            </w:r>
          </w:p>
        </w:tc>
        <w:tc>
          <w:tcPr>
            <w:tcW w:w="1764" w:type="dxa"/>
            <w:shd w:val="clear" w:color="auto" w:fill="auto"/>
            <w:vAlign w:val="center"/>
          </w:tcPr>
          <w:p w14:paraId="2EB29B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  <w:tc>
          <w:tcPr>
            <w:tcW w:w="1482" w:type="dxa"/>
            <w:shd w:val="clear" w:color="auto" w:fill="auto"/>
            <w:vAlign w:val="center"/>
          </w:tcPr>
          <w:p w14:paraId="46BCB1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天</w:t>
            </w:r>
          </w:p>
        </w:tc>
      </w:tr>
    </w:tbl>
    <w:p w14:paraId="517FCE6F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【6】随访资料（1月/3月/6月/12月）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20"/>
        <w:gridCol w:w="3327"/>
      </w:tblGrid>
      <w:tr w14:paraId="6A1A1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5375" w:type="dxa"/>
            <w:shd w:val="clear" w:color="auto" w:fill="auto"/>
            <w:vAlign w:val="center"/>
          </w:tcPr>
          <w:p w14:paraId="4B6ED4D3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7B77E75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类型</w:t>
            </w:r>
          </w:p>
        </w:tc>
      </w:tr>
      <w:tr w14:paraId="149C3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75" w:type="dxa"/>
            <w:shd w:val="clear" w:color="auto" w:fill="auto"/>
            <w:vAlign w:val="center"/>
          </w:tcPr>
          <w:p w14:paraId="4F120C3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生存状态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4CF90C1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枚举：生存/死亡</w:t>
            </w:r>
          </w:p>
        </w:tc>
      </w:tr>
      <w:tr w14:paraId="4D129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75" w:type="dxa"/>
            <w:shd w:val="clear" w:color="auto" w:fill="auto"/>
            <w:vAlign w:val="center"/>
          </w:tcPr>
          <w:p w14:paraId="0A9EA08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肿瘤复发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28865C5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枚举：有/无</w:t>
            </w:r>
          </w:p>
        </w:tc>
      </w:tr>
      <w:tr w14:paraId="1B93F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75" w:type="dxa"/>
            <w:shd w:val="clear" w:color="auto" w:fill="auto"/>
            <w:vAlign w:val="center"/>
          </w:tcPr>
          <w:p w14:paraId="0019FC4C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生活质量评分（EORTC QLQ）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13E66CE0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</w:tr>
      <w:tr w14:paraId="0644DC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75" w:type="dxa"/>
            <w:shd w:val="clear" w:color="auto" w:fill="auto"/>
            <w:vAlign w:val="center"/>
          </w:tcPr>
          <w:p w14:paraId="4E345DB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营养状态（PG-SGA）</w:t>
            </w:r>
          </w:p>
        </w:tc>
        <w:tc>
          <w:tcPr>
            <w:tcW w:w="3282" w:type="dxa"/>
            <w:shd w:val="clear" w:color="auto" w:fill="auto"/>
            <w:vAlign w:val="center"/>
          </w:tcPr>
          <w:p w14:paraId="3E38D70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等级</w:t>
            </w:r>
          </w:p>
        </w:tc>
      </w:tr>
    </w:tbl>
    <w:p w14:paraId="7192D135">
      <w:pPr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</w:p>
    <w:p w14:paraId="6BD7476D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二、CRF 模板（工程类版：器械 V&amp;V）</w:t>
      </w:r>
    </w:p>
    <w:p w14:paraId="71477103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适用于：内镜设备、腹腔镜器械、机械臂、透明帽、吸入圈套装置等。</w:t>
      </w:r>
    </w:p>
    <w:p w14:paraId="29DDFA72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【1】基础信息</w:t>
      </w:r>
    </w:p>
    <w:p w14:paraId="188B9D69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装置名称：</w:t>
      </w:r>
    </w:p>
    <w:p w14:paraId="4941DD36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专利编号（如适用）：</w:t>
      </w:r>
    </w:p>
    <w:p w14:paraId="56391FCC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测试批次：</w:t>
      </w:r>
    </w:p>
    <w:p w14:paraId="266527AD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操作人员：</w:t>
      </w:r>
    </w:p>
    <w:p w14:paraId="1650D3FD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【2】结构参数记录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02"/>
        <w:gridCol w:w="1329"/>
        <w:gridCol w:w="1329"/>
        <w:gridCol w:w="2487"/>
      </w:tblGrid>
      <w:tr w14:paraId="5ECE6B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557" w:type="dxa"/>
            <w:shd w:val="clear" w:color="auto" w:fill="auto"/>
            <w:vAlign w:val="center"/>
          </w:tcPr>
          <w:p w14:paraId="7E4606B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555F6C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4CE5A3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单位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0FB8C2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043D1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557" w:type="dxa"/>
            <w:shd w:val="clear" w:color="auto" w:fill="auto"/>
            <w:vAlign w:val="center"/>
          </w:tcPr>
          <w:p w14:paraId="145BBE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装置长度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7AEBC8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728B16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mm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01A622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76E71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557" w:type="dxa"/>
            <w:shd w:val="clear" w:color="auto" w:fill="auto"/>
            <w:vAlign w:val="center"/>
          </w:tcPr>
          <w:p w14:paraId="7A76E7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外径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64380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5AD70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mm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7338D4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42E68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557" w:type="dxa"/>
            <w:shd w:val="clear" w:color="auto" w:fill="auto"/>
            <w:vAlign w:val="center"/>
          </w:tcPr>
          <w:p w14:paraId="3132C898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工作通道直径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26A20A34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6ED34F72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mm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1550E20F">
            <w:pPr>
              <w:bidi w:val="0"/>
              <w:rPr>
                <w:rFonts w:hint="eastAsia" w:ascii="楷体" w:hAnsi="楷体" w:eastAsia="楷体" w:cs="楷体"/>
              </w:rPr>
            </w:pPr>
          </w:p>
        </w:tc>
      </w:tr>
      <w:tr w14:paraId="2AC90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557" w:type="dxa"/>
            <w:shd w:val="clear" w:color="auto" w:fill="auto"/>
            <w:vAlign w:val="center"/>
          </w:tcPr>
          <w:p w14:paraId="03A789D6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壁厚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2A189E20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0195E36A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mm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53DEAF9E">
            <w:pPr>
              <w:bidi w:val="0"/>
              <w:rPr>
                <w:rFonts w:hint="eastAsia" w:ascii="楷体" w:hAnsi="楷体" w:eastAsia="楷体" w:cs="楷体"/>
              </w:rPr>
            </w:pPr>
          </w:p>
        </w:tc>
      </w:tr>
      <w:tr w14:paraId="59FE97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557" w:type="dxa"/>
            <w:shd w:val="clear" w:color="auto" w:fill="auto"/>
            <w:vAlign w:val="center"/>
          </w:tcPr>
          <w:p w14:paraId="0456138B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尖端透明度</w:t>
            </w:r>
          </w:p>
        </w:tc>
        <w:tc>
          <w:tcPr>
            <w:tcW w:w="1299" w:type="dxa"/>
            <w:shd w:val="clear" w:color="auto" w:fill="auto"/>
            <w:vAlign w:val="center"/>
          </w:tcPr>
          <w:p w14:paraId="7574478F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1299" w:type="dxa"/>
            <w:shd w:val="clear" w:color="auto" w:fill="auto"/>
            <w:vAlign w:val="center"/>
          </w:tcPr>
          <w:p w14:paraId="2B5D9AFD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%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23C208DF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光学测量</w:t>
            </w:r>
          </w:p>
        </w:tc>
      </w:tr>
    </w:tbl>
    <w:p w14:paraId="560D966F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【3】力学性能测试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63"/>
        <w:gridCol w:w="770"/>
        <w:gridCol w:w="1092"/>
        <w:gridCol w:w="3682"/>
        <w:gridCol w:w="1440"/>
      </w:tblGrid>
      <w:tr w14:paraId="2698D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718" w:type="dxa"/>
            <w:shd w:val="clear" w:color="auto" w:fill="auto"/>
            <w:vAlign w:val="center"/>
          </w:tcPr>
          <w:p w14:paraId="4028907F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测试项目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7D075A59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结果</w:t>
            </w:r>
          </w:p>
        </w:tc>
        <w:tc>
          <w:tcPr>
            <w:tcW w:w="1062" w:type="dxa"/>
            <w:shd w:val="clear" w:color="auto" w:fill="auto"/>
            <w:vAlign w:val="center"/>
          </w:tcPr>
          <w:p w14:paraId="383E80EB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单位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72D52BFF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标准值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4034DB5A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是否通过</w:t>
            </w:r>
          </w:p>
        </w:tc>
      </w:tr>
      <w:tr w14:paraId="1CD30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18" w:type="dxa"/>
            <w:shd w:val="clear" w:color="auto" w:fill="auto"/>
            <w:vAlign w:val="center"/>
          </w:tcPr>
          <w:p w14:paraId="3B516260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弯曲刚度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083563E1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5447245A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N·mm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315617D3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79A13483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是/否</w:t>
            </w:r>
          </w:p>
        </w:tc>
      </w:tr>
      <w:tr w14:paraId="74336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18" w:type="dxa"/>
            <w:shd w:val="clear" w:color="auto" w:fill="auto"/>
            <w:vAlign w:val="center"/>
          </w:tcPr>
          <w:p w14:paraId="51B2D154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扭转强度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53970770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2CEA65A0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N·mm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5E08C10A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1395" w:type="dxa"/>
            <w:shd w:val="clear" w:color="auto" w:fill="auto"/>
            <w:vAlign w:val="center"/>
          </w:tcPr>
          <w:p w14:paraId="528EA5B9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是/否</w:t>
            </w:r>
          </w:p>
        </w:tc>
      </w:tr>
      <w:tr w14:paraId="5F890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18" w:type="dxa"/>
            <w:shd w:val="clear" w:color="auto" w:fill="auto"/>
            <w:vAlign w:val="center"/>
          </w:tcPr>
          <w:p w14:paraId="288EE920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耐疲劳次数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3DD26916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142A9B3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cycles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2F5FEF62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≥标准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1D077D21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是/否</w:t>
            </w:r>
          </w:p>
        </w:tc>
      </w:tr>
      <w:tr w14:paraId="7B7C5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18" w:type="dxa"/>
            <w:shd w:val="clear" w:color="auto" w:fill="auto"/>
            <w:vAlign w:val="center"/>
          </w:tcPr>
          <w:p w14:paraId="246A2F45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抗滑脱力</w:t>
            </w:r>
          </w:p>
        </w:tc>
        <w:tc>
          <w:tcPr>
            <w:tcW w:w="740" w:type="dxa"/>
            <w:shd w:val="clear" w:color="auto" w:fill="auto"/>
            <w:vAlign w:val="center"/>
          </w:tcPr>
          <w:p w14:paraId="0FCC141E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1062" w:type="dxa"/>
            <w:shd w:val="clear" w:color="auto" w:fill="auto"/>
            <w:vAlign w:val="center"/>
          </w:tcPr>
          <w:p w14:paraId="3CD3D53B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N</w:t>
            </w:r>
          </w:p>
        </w:tc>
        <w:tc>
          <w:tcPr>
            <w:tcW w:w="3652" w:type="dxa"/>
            <w:shd w:val="clear" w:color="auto" w:fill="auto"/>
            <w:vAlign w:val="center"/>
          </w:tcPr>
          <w:p w14:paraId="36D90FA4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关键指标（圈套器使用）</w:t>
            </w:r>
          </w:p>
        </w:tc>
        <w:tc>
          <w:tcPr>
            <w:tcW w:w="1395" w:type="dxa"/>
            <w:shd w:val="clear" w:color="auto" w:fill="auto"/>
            <w:vAlign w:val="center"/>
          </w:tcPr>
          <w:p w14:paraId="6356B232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是/否</w:t>
            </w:r>
          </w:p>
        </w:tc>
      </w:tr>
    </w:tbl>
    <w:p w14:paraId="654C0517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【4】操作性测试（User Test）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009"/>
        <w:gridCol w:w="2576"/>
        <w:gridCol w:w="2172"/>
        <w:gridCol w:w="990"/>
      </w:tblGrid>
      <w:tr w14:paraId="44A71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964" w:type="dxa"/>
            <w:shd w:val="clear" w:color="auto" w:fill="auto"/>
            <w:vAlign w:val="center"/>
          </w:tcPr>
          <w:p w14:paraId="1F6EDBA7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项目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5B3EB443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评分（1–5）</w:t>
            </w:r>
          </w:p>
        </w:tc>
        <w:tc>
          <w:tcPr>
            <w:tcW w:w="2142" w:type="dxa"/>
            <w:shd w:val="clear" w:color="auto" w:fill="auto"/>
            <w:vAlign w:val="center"/>
          </w:tcPr>
          <w:p w14:paraId="478D89B7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操作者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72F16EB6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备注</w:t>
            </w:r>
          </w:p>
        </w:tc>
      </w:tr>
      <w:tr w14:paraId="6C468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964" w:type="dxa"/>
            <w:shd w:val="clear" w:color="auto" w:fill="auto"/>
            <w:vAlign w:val="center"/>
          </w:tcPr>
          <w:p w14:paraId="460FBFF4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插入顺畅度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2B342B67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46AF66FB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医生 A/B/C</w:t>
            </w:r>
          </w:p>
        </w:tc>
        <w:tc>
          <w:tcPr>
            <w:tcW w:w="945" w:type="dxa"/>
            <w:shd w:val="clear" w:color="auto" w:fill="auto"/>
            <w:vAlign w:val="center"/>
          </w:tcPr>
          <w:p w14:paraId="301D6509">
            <w:pPr>
              <w:bidi w:val="0"/>
              <w:rPr>
                <w:rFonts w:hint="eastAsia" w:ascii="楷体" w:hAnsi="楷体" w:eastAsia="楷体" w:cs="楷体"/>
              </w:rPr>
            </w:pPr>
          </w:p>
        </w:tc>
      </w:tr>
      <w:tr w14:paraId="711677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964" w:type="dxa"/>
            <w:shd w:val="clear" w:color="auto" w:fill="auto"/>
            <w:vAlign w:val="center"/>
          </w:tcPr>
          <w:p w14:paraId="0ECBF09C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视野清晰度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5E8891DD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245A09E4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620156CB">
            <w:pPr>
              <w:bidi w:val="0"/>
              <w:rPr>
                <w:rFonts w:hint="eastAsia" w:ascii="楷体" w:hAnsi="楷体" w:eastAsia="楷体" w:cs="楷体"/>
              </w:rPr>
            </w:pPr>
          </w:p>
        </w:tc>
      </w:tr>
      <w:tr w14:paraId="1C3EB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964" w:type="dxa"/>
            <w:shd w:val="clear" w:color="auto" w:fill="auto"/>
            <w:vAlign w:val="center"/>
          </w:tcPr>
          <w:p w14:paraId="7F712ACD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圈套定位准确性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70AC321E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60A12F8D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54B53031">
            <w:pPr>
              <w:bidi w:val="0"/>
              <w:rPr>
                <w:rFonts w:hint="eastAsia" w:ascii="楷体" w:hAnsi="楷体" w:eastAsia="楷体" w:cs="楷体"/>
              </w:rPr>
            </w:pPr>
          </w:p>
        </w:tc>
      </w:tr>
      <w:tr w14:paraId="499FB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964" w:type="dxa"/>
            <w:shd w:val="clear" w:color="auto" w:fill="auto"/>
            <w:vAlign w:val="center"/>
          </w:tcPr>
          <w:p w14:paraId="0915CB3B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操作稳定性</w:t>
            </w:r>
          </w:p>
        </w:tc>
        <w:tc>
          <w:tcPr>
            <w:tcW w:w="2546" w:type="dxa"/>
            <w:shd w:val="clear" w:color="auto" w:fill="auto"/>
            <w:vAlign w:val="center"/>
          </w:tcPr>
          <w:p w14:paraId="5B47E3CD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2142" w:type="dxa"/>
            <w:shd w:val="clear" w:color="auto" w:fill="auto"/>
            <w:vAlign w:val="center"/>
          </w:tcPr>
          <w:p w14:paraId="584B498E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14:paraId="7775177C">
            <w:pPr>
              <w:bidi w:val="0"/>
              <w:rPr>
                <w:rFonts w:hint="eastAsia" w:ascii="楷体" w:hAnsi="楷体" w:eastAsia="楷体" w:cs="楷体"/>
              </w:rPr>
            </w:pPr>
          </w:p>
        </w:tc>
      </w:tr>
    </w:tbl>
    <w:p w14:paraId="2075C435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【5】工程验证（Verification）记录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77"/>
        <w:gridCol w:w="2217"/>
        <w:gridCol w:w="2253"/>
      </w:tblGrid>
      <w:tr w14:paraId="659C1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4232" w:type="dxa"/>
            <w:shd w:val="clear" w:color="auto" w:fill="auto"/>
            <w:vAlign w:val="center"/>
          </w:tcPr>
          <w:p w14:paraId="7EC58A43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内容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73FAEAF2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数据记录</w:t>
            </w:r>
          </w:p>
        </w:tc>
        <w:tc>
          <w:tcPr>
            <w:tcW w:w="2208" w:type="dxa"/>
            <w:shd w:val="clear" w:color="auto" w:fill="auto"/>
            <w:vAlign w:val="center"/>
          </w:tcPr>
          <w:p w14:paraId="55B3B27C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是否达标</w:t>
            </w:r>
          </w:p>
        </w:tc>
      </w:tr>
      <w:tr w14:paraId="29D0E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232" w:type="dxa"/>
            <w:shd w:val="clear" w:color="auto" w:fill="auto"/>
            <w:vAlign w:val="center"/>
          </w:tcPr>
          <w:p w14:paraId="4F10E841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CAD/CAE 仿真结果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A0E9DF9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附图</w:t>
            </w:r>
          </w:p>
        </w:tc>
        <w:tc>
          <w:tcPr>
            <w:tcW w:w="2208" w:type="dxa"/>
            <w:shd w:val="clear" w:color="auto" w:fill="auto"/>
            <w:vAlign w:val="center"/>
          </w:tcPr>
          <w:p w14:paraId="7B039E68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是/否</w:t>
            </w:r>
          </w:p>
        </w:tc>
      </w:tr>
      <w:tr w14:paraId="0223E6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232" w:type="dxa"/>
            <w:shd w:val="clear" w:color="auto" w:fill="auto"/>
            <w:vAlign w:val="center"/>
          </w:tcPr>
          <w:p w14:paraId="1EB0BDDD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关键尺寸测量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695CCABB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数据表</w:t>
            </w:r>
          </w:p>
        </w:tc>
        <w:tc>
          <w:tcPr>
            <w:tcW w:w="2208" w:type="dxa"/>
            <w:shd w:val="clear" w:color="auto" w:fill="auto"/>
            <w:vAlign w:val="center"/>
          </w:tcPr>
          <w:p w14:paraId="2F107D50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是/否</w:t>
            </w:r>
          </w:p>
        </w:tc>
      </w:tr>
      <w:tr w14:paraId="0252C8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232" w:type="dxa"/>
            <w:shd w:val="clear" w:color="auto" w:fill="auto"/>
            <w:vAlign w:val="center"/>
          </w:tcPr>
          <w:p w14:paraId="10B5BA48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组装可靠性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5092CF23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测试报告</w:t>
            </w:r>
          </w:p>
        </w:tc>
        <w:tc>
          <w:tcPr>
            <w:tcW w:w="2208" w:type="dxa"/>
            <w:shd w:val="clear" w:color="auto" w:fill="auto"/>
            <w:vAlign w:val="center"/>
          </w:tcPr>
          <w:p w14:paraId="776C30CA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是/否</w:t>
            </w:r>
          </w:p>
        </w:tc>
      </w:tr>
    </w:tbl>
    <w:p w14:paraId="0ED48F44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【6】设计确认（Validation）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401"/>
        <w:gridCol w:w="956"/>
        <w:gridCol w:w="2390"/>
      </w:tblGrid>
      <w:tr w14:paraId="6462D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5356" w:type="dxa"/>
            <w:shd w:val="clear" w:color="auto" w:fill="auto"/>
            <w:vAlign w:val="center"/>
          </w:tcPr>
          <w:p w14:paraId="1B209EA9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场景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363804CF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结果</w:t>
            </w:r>
          </w:p>
        </w:tc>
        <w:tc>
          <w:tcPr>
            <w:tcW w:w="2345" w:type="dxa"/>
            <w:shd w:val="clear" w:color="auto" w:fill="auto"/>
            <w:vAlign w:val="center"/>
          </w:tcPr>
          <w:p w14:paraId="33BE1232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结论</w:t>
            </w:r>
          </w:p>
        </w:tc>
      </w:tr>
      <w:tr w14:paraId="6F8A6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56" w:type="dxa"/>
            <w:shd w:val="clear" w:color="auto" w:fill="auto"/>
            <w:vAlign w:val="center"/>
          </w:tcPr>
          <w:p w14:paraId="61B25937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动物模型验证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15B68EA">
            <w:pPr>
              <w:bidi w:val="0"/>
              <w:rPr>
                <w:rFonts w:hint="eastAsia" w:ascii="楷体" w:hAnsi="楷体" w:eastAsia="楷体" w:cs="楷体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14:paraId="50F5D27C">
            <w:pPr>
              <w:bidi w:val="0"/>
              <w:rPr>
                <w:rFonts w:hint="eastAsia" w:ascii="楷体" w:hAnsi="楷体" w:eastAsia="楷体" w:cs="楷体"/>
              </w:rPr>
            </w:pPr>
            <w:r>
              <w:rPr>
                <w:rFonts w:hint="eastAsia" w:ascii="楷体" w:hAnsi="楷体" w:eastAsia="楷体" w:cs="楷体"/>
                <w:lang w:val="en-US" w:eastAsia="zh-CN"/>
              </w:rPr>
              <w:t>合格/不合格</w:t>
            </w:r>
          </w:p>
        </w:tc>
      </w:tr>
      <w:tr w14:paraId="11219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56" w:type="dxa"/>
            <w:shd w:val="clear" w:color="auto" w:fill="auto"/>
            <w:vAlign w:val="center"/>
          </w:tcPr>
          <w:p w14:paraId="0CC3FE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临床模拟模型（Bench test）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60DEE5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14:paraId="4D3649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3FD6E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356" w:type="dxa"/>
            <w:shd w:val="clear" w:color="auto" w:fill="auto"/>
            <w:vAlign w:val="center"/>
          </w:tcPr>
          <w:p w14:paraId="41B308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临床试验前安全性评估</w:t>
            </w:r>
          </w:p>
        </w:tc>
        <w:tc>
          <w:tcPr>
            <w:tcW w:w="926" w:type="dxa"/>
            <w:shd w:val="clear" w:color="auto" w:fill="auto"/>
            <w:vAlign w:val="center"/>
          </w:tcPr>
          <w:p w14:paraId="78BBF0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345" w:type="dxa"/>
            <w:shd w:val="clear" w:color="auto" w:fill="auto"/>
            <w:vAlign w:val="center"/>
          </w:tcPr>
          <w:p w14:paraId="2343F5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59A04AA4">
      <w:pPr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</w:p>
    <w:p w14:paraId="6E3B90F2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三、CRF 模板（AI研究版）</w:t>
      </w:r>
    </w:p>
    <w:p w14:paraId="454AC017">
      <w:pPr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适用于：LLM、图像AI、语音AI、RAG系统、智能质控系统等。</w:t>
      </w:r>
    </w:p>
    <w:p w14:paraId="2D40FE0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【1】数据来源信息</w:t>
      </w:r>
    </w:p>
    <w:p w14:paraId="726A2738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数据类型：文本 / 图像 / 视频 / 语音 / 多模态</w:t>
      </w:r>
    </w:p>
    <w:p w14:paraId="5B5E86B4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数据来源：EMR / PACS / 内镜系统 / 语音采集设备</w:t>
      </w:r>
    </w:p>
    <w:p w14:paraId="3629A9B2">
      <w:pPr>
        <w:pStyle w:val="30"/>
        <w:keepNext w:val="0"/>
        <w:keepLines w:val="0"/>
        <w:widowControl/>
        <w:numPr>
          <w:ilvl w:val="0"/>
          <w:numId w:val="73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数据脱敏方式：自动/人工</w:t>
      </w:r>
    </w:p>
    <w:p w14:paraId="0D2EF0D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【2】原始数据记录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63"/>
        <w:gridCol w:w="4107"/>
        <w:gridCol w:w="1277"/>
      </w:tblGrid>
      <w:tr w14:paraId="0FC8F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tblCellSpacing w:w="15" w:type="dxa"/>
          <w:jc w:val="center"/>
        </w:trPr>
        <w:tc>
          <w:tcPr>
            <w:tcW w:w="3318" w:type="dxa"/>
            <w:shd w:val="clear" w:color="auto" w:fill="auto"/>
            <w:vAlign w:val="center"/>
          </w:tcPr>
          <w:p w14:paraId="6084FB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字段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5CC5E4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说明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375C1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类型</w:t>
            </w:r>
          </w:p>
        </w:tc>
      </w:tr>
      <w:tr w14:paraId="138093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318" w:type="dxa"/>
            <w:shd w:val="clear" w:color="auto" w:fill="auto"/>
            <w:vAlign w:val="center"/>
          </w:tcPr>
          <w:p w14:paraId="1D72AA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原始文件路径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4610CF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文件ID或哈希值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F3A61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字符</w:t>
            </w:r>
          </w:p>
        </w:tc>
      </w:tr>
      <w:tr w14:paraId="2985B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318" w:type="dxa"/>
            <w:shd w:val="clear" w:color="auto" w:fill="auto"/>
            <w:vAlign w:val="center"/>
          </w:tcPr>
          <w:p w14:paraId="360F1A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数据标签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355E0A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分类/分割/评分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55A02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枚举</w:t>
            </w:r>
          </w:p>
        </w:tc>
      </w:tr>
      <w:tr w14:paraId="37182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318" w:type="dxa"/>
            <w:shd w:val="clear" w:color="auto" w:fill="auto"/>
            <w:vAlign w:val="center"/>
          </w:tcPr>
          <w:p w14:paraId="57C348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标签者ID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4FC21B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5CD8624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字符</w:t>
            </w:r>
          </w:p>
        </w:tc>
      </w:tr>
      <w:tr w14:paraId="61D49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318" w:type="dxa"/>
            <w:shd w:val="clear" w:color="auto" w:fill="auto"/>
            <w:vAlign w:val="center"/>
          </w:tcPr>
          <w:p w14:paraId="5D768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标签一致性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514D40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Kappa/ICC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6C68A2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</w:tr>
      <w:tr w14:paraId="3CC0D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318" w:type="dxa"/>
            <w:shd w:val="clear" w:color="auto" w:fill="auto"/>
            <w:vAlign w:val="center"/>
          </w:tcPr>
          <w:p w14:paraId="76E302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数据版本号</w:t>
            </w:r>
          </w:p>
        </w:tc>
        <w:tc>
          <w:tcPr>
            <w:tcW w:w="4077" w:type="dxa"/>
            <w:shd w:val="clear" w:color="auto" w:fill="auto"/>
            <w:vAlign w:val="center"/>
          </w:tcPr>
          <w:p w14:paraId="0DE7C4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32" w:type="dxa"/>
            <w:shd w:val="clear" w:color="auto" w:fill="auto"/>
            <w:vAlign w:val="center"/>
          </w:tcPr>
          <w:p w14:paraId="316CC1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字符</w:t>
            </w:r>
          </w:p>
        </w:tc>
      </w:tr>
    </w:tbl>
    <w:p w14:paraId="2E572EB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【3】文本AI（如 C-EMR / PoRA-6 / PRI）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18"/>
        <w:gridCol w:w="4129"/>
      </w:tblGrid>
      <w:tr w14:paraId="31C84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4573" w:type="dxa"/>
            <w:shd w:val="clear" w:color="auto" w:fill="auto"/>
            <w:vAlign w:val="center"/>
          </w:tcPr>
          <w:p w14:paraId="5B3980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字段</w:t>
            </w:r>
          </w:p>
        </w:tc>
        <w:tc>
          <w:tcPr>
            <w:tcW w:w="4084" w:type="dxa"/>
            <w:shd w:val="clear" w:color="auto" w:fill="auto"/>
            <w:vAlign w:val="center"/>
          </w:tcPr>
          <w:p w14:paraId="0D3FA2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说明</w:t>
            </w:r>
          </w:p>
        </w:tc>
      </w:tr>
      <w:tr w14:paraId="151BC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573" w:type="dxa"/>
            <w:shd w:val="clear" w:color="auto" w:fill="auto"/>
            <w:vAlign w:val="center"/>
          </w:tcPr>
          <w:p w14:paraId="40B37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输入文本（Prompt）</w:t>
            </w:r>
          </w:p>
        </w:tc>
        <w:tc>
          <w:tcPr>
            <w:tcW w:w="4084" w:type="dxa"/>
            <w:shd w:val="clear" w:color="auto" w:fill="auto"/>
            <w:vAlign w:val="center"/>
          </w:tcPr>
          <w:p w14:paraId="0E1705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结构化/非结构化</w:t>
            </w:r>
          </w:p>
        </w:tc>
      </w:tr>
      <w:tr w14:paraId="52524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573" w:type="dxa"/>
            <w:shd w:val="clear" w:color="auto" w:fill="auto"/>
            <w:vAlign w:val="center"/>
          </w:tcPr>
          <w:p w14:paraId="61371D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输出字段</w:t>
            </w:r>
          </w:p>
        </w:tc>
        <w:tc>
          <w:tcPr>
            <w:tcW w:w="4084" w:type="dxa"/>
            <w:shd w:val="clear" w:color="auto" w:fill="auto"/>
            <w:vAlign w:val="center"/>
          </w:tcPr>
          <w:p w14:paraId="4320C7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诊断/分类/质控项</w:t>
            </w:r>
          </w:p>
        </w:tc>
      </w:tr>
      <w:tr w14:paraId="0418B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573" w:type="dxa"/>
            <w:shd w:val="clear" w:color="auto" w:fill="auto"/>
            <w:vAlign w:val="center"/>
          </w:tcPr>
          <w:p w14:paraId="19E9BF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LLM推理时间</w:t>
            </w:r>
          </w:p>
        </w:tc>
        <w:tc>
          <w:tcPr>
            <w:tcW w:w="4084" w:type="dxa"/>
            <w:shd w:val="clear" w:color="auto" w:fill="auto"/>
            <w:vAlign w:val="center"/>
          </w:tcPr>
          <w:p w14:paraId="2F8C6F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ms</w:t>
            </w:r>
          </w:p>
        </w:tc>
      </w:tr>
      <w:tr w14:paraId="4982D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573" w:type="dxa"/>
            <w:shd w:val="clear" w:color="auto" w:fill="auto"/>
            <w:vAlign w:val="center"/>
          </w:tcPr>
          <w:p w14:paraId="790D0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推理准确率</w:t>
            </w:r>
          </w:p>
        </w:tc>
        <w:tc>
          <w:tcPr>
            <w:tcW w:w="4084" w:type="dxa"/>
            <w:shd w:val="clear" w:color="auto" w:fill="auto"/>
            <w:vAlign w:val="center"/>
          </w:tcPr>
          <w:p w14:paraId="3018C4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</w:tr>
      <w:tr w14:paraId="6910B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573" w:type="dxa"/>
            <w:shd w:val="clear" w:color="auto" w:fill="auto"/>
            <w:vAlign w:val="center"/>
          </w:tcPr>
          <w:p w14:paraId="2069B0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错误类型分类</w:t>
            </w:r>
          </w:p>
        </w:tc>
        <w:tc>
          <w:tcPr>
            <w:tcW w:w="4084" w:type="dxa"/>
            <w:shd w:val="clear" w:color="auto" w:fill="auto"/>
            <w:vAlign w:val="center"/>
          </w:tcPr>
          <w:p w14:paraId="67578F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漏诊/错判/不确定</w:t>
            </w:r>
          </w:p>
        </w:tc>
      </w:tr>
    </w:tbl>
    <w:p w14:paraId="613E035F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【4】图像AI（内镜/腹腔镜/CT）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033"/>
        <w:gridCol w:w="3714"/>
      </w:tblGrid>
      <w:tr w14:paraId="561BD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988" w:type="dxa"/>
            <w:shd w:val="clear" w:color="auto" w:fill="auto"/>
            <w:vAlign w:val="center"/>
          </w:tcPr>
          <w:p w14:paraId="53B38B90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字段</w:t>
            </w:r>
          </w:p>
        </w:tc>
        <w:tc>
          <w:tcPr>
            <w:tcW w:w="3669" w:type="dxa"/>
            <w:shd w:val="clear" w:color="auto" w:fill="auto"/>
            <w:vAlign w:val="center"/>
          </w:tcPr>
          <w:p w14:paraId="6BE78C5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内容</w:t>
            </w:r>
          </w:p>
        </w:tc>
      </w:tr>
      <w:tr w14:paraId="30596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988" w:type="dxa"/>
            <w:shd w:val="clear" w:color="auto" w:fill="auto"/>
            <w:vAlign w:val="center"/>
          </w:tcPr>
          <w:p w14:paraId="0DB1CCBB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图像ID</w:t>
            </w:r>
          </w:p>
        </w:tc>
        <w:tc>
          <w:tcPr>
            <w:tcW w:w="3669" w:type="dxa"/>
            <w:shd w:val="clear" w:color="auto" w:fill="auto"/>
            <w:vAlign w:val="center"/>
          </w:tcPr>
          <w:p w14:paraId="44E80D87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75A07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988" w:type="dxa"/>
            <w:shd w:val="clear" w:color="auto" w:fill="auto"/>
            <w:vAlign w:val="center"/>
          </w:tcPr>
          <w:p w14:paraId="474BE31D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病灶标签</w:t>
            </w:r>
          </w:p>
        </w:tc>
        <w:tc>
          <w:tcPr>
            <w:tcW w:w="3669" w:type="dxa"/>
            <w:shd w:val="clear" w:color="auto" w:fill="auto"/>
            <w:vAlign w:val="center"/>
          </w:tcPr>
          <w:p w14:paraId="0175EE81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分类/分割/检测框</w:t>
            </w:r>
          </w:p>
        </w:tc>
      </w:tr>
      <w:tr w14:paraId="25DAC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988" w:type="dxa"/>
            <w:shd w:val="clear" w:color="auto" w:fill="auto"/>
            <w:vAlign w:val="center"/>
          </w:tcPr>
          <w:p w14:paraId="245AFA97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模型评分（如恶性概率）</w:t>
            </w:r>
          </w:p>
        </w:tc>
        <w:tc>
          <w:tcPr>
            <w:tcW w:w="3669" w:type="dxa"/>
            <w:shd w:val="clear" w:color="auto" w:fill="auto"/>
            <w:vAlign w:val="center"/>
          </w:tcPr>
          <w:p w14:paraId="5AFD9799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0–1</w:t>
            </w:r>
          </w:p>
        </w:tc>
      </w:tr>
      <w:tr w14:paraId="7FFDA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988" w:type="dxa"/>
            <w:shd w:val="clear" w:color="auto" w:fill="auto"/>
            <w:vAlign w:val="center"/>
          </w:tcPr>
          <w:p w14:paraId="4137ACF7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标注一致性</w:t>
            </w:r>
          </w:p>
        </w:tc>
        <w:tc>
          <w:tcPr>
            <w:tcW w:w="3669" w:type="dxa"/>
            <w:shd w:val="clear" w:color="auto" w:fill="auto"/>
            <w:vAlign w:val="center"/>
          </w:tcPr>
          <w:p w14:paraId="0033D3C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Kappa</w:t>
            </w:r>
          </w:p>
        </w:tc>
      </w:tr>
    </w:tbl>
    <w:p w14:paraId="75228C8F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【5】语音AI（医患沟通 / 术中语音识别）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82"/>
        <w:gridCol w:w="1965"/>
      </w:tblGrid>
      <w:tr w14:paraId="1FB23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6737" w:type="dxa"/>
            <w:shd w:val="clear" w:color="auto" w:fill="auto"/>
            <w:vAlign w:val="center"/>
          </w:tcPr>
          <w:p w14:paraId="74898E7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字段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526891B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说明</w:t>
            </w:r>
          </w:p>
        </w:tc>
      </w:tr>
      <w:tr w14:paraId="4A478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737" w:type="dxa"/>
            <w:shd w:val="clear" w:color="auto" w:fill="auto"/>
            <w:vAlign w:val="center"/>
          </w:tcPr>
          <w:p w14:paraId="372B26D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音频ID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24E14872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853D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737" w:type="dxa"/>
            <w:shd w:val="clear" w:color="auto" w:fill="auto"/>
            <w:vAlign w:val="center"/>
          </w:tcPr>
          <w:p w14:paraId="6DF061B6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语音识别文本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71CC864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3EC94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737" w:type="dxa"/>
            <w:shd w:val="clear" w:color="auto" w:fill="auto"/>
            <w:vAlign w:val="center"/>
          </w:tcPr>
          <w:p w14:paraId="4C26BC35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方言/口音标签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53185558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131B2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737" w:type="dxa"/>
            <w:shd w:val="clear" w:color="auto" w:fill="auto"/>
            <w:vAlign w:val="center"/>
          </w:tcPr>
          <w:p w14:paraId="42E9C49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多说话人分离结果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0E44E04F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469A3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6737" w:type="dxa"/>
            <w:shd w:val="clear" w:color="auto" w:fill="auto"/>
            <w:vAlign w:val="center"/>
          </w:tcPr>
          <w:p w14:paraId="1513262A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识别准确率</w:t>
            </w:r>
          </w:p>
        </w:tc>
        <w:tc>
          <w:tcPr>
            <w:tcW w:w="1920" w:type="dxa"/>
            <w:shd w:val="clear" w:color="auto" w:fill="auto"/>
            <w:vAlign w:val="center"/>
          </w:tcPr>
          <w:p w14:paraId="11DB44A1">
            <w:pPr>
              <w:keepNext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</w:tr>
    </w:tbl>
    <w:p w14:paraId="1B99C8A3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【6】模型评估CRF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77"/>
        <w:gridCol w:w="3614"/>
        <w:gridCol w:w="1056"/>
      </w:tblGrid>
      <w:tr w14:paraId="20F01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4032" w:type="dxa"/>
            <w:shd w:val="clear" w:color="auto" w:fill="auto"/>
            <w:vAlign w:val="center"/>
          </w:tcPr>
          <w:p w14:paraId="5072DE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3584" w:type="dxa"/>
            <w:shd w:val="clear" w:color="auto" w:fill="auto"/>
            <w:vAlign w:val="center"/>
          </w:tcPr>
          <w:p w14:paraId="7CE7EC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定义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572C18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数据</w:t>
            </w:r>
          </w:p>
        </w:tc>
      </w:tr>
      <w:tr w14:paraId="64ED5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32" w:type="dxa"/>
            <w:shd w:val="clear" w:color="auto" w:fill="auto"/>
            <w:vAlign w:val="center"/>
          </w:tcPr>
          <w:p w14:paraId="620DCD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AUC</w:t>
            </w:r>
          </w:p>
        </w:tc>
        <w:tc>
          <w:tcPr>
            <w:tcW w:w="3584" w:type="dxa"/>
            <w:shd w:val="clear" w:color="auto" w:fill="auto"/>
            <w:vAlign w:val="center"/>
          </w:tcPr>
          <w:p w14:paraId="2E7959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ROC 曲线下的面积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61C19C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0E5AAF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32" w:type="dxa"/>
            <w:shd w:val="clear" w:color="auto" w:fill="auto"/>
            <w:vAlign w:val="center"/>
          </w:tcPr>
          <w:p w14:paraId="25776A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Recall / Precision</w:t>
            </w:r>
          </w:p>
        </w:tc>
        <w:tc>
          <w:tcPr>
            <w:tcW w:w="3584" w:type="dxa"/>
            <w:shd w:val="clear" w:color="auto" w:fill="auto"/>
            <w:vAlign w:val="center"/>
          </w:tcPr>
          <w:p w14:paraId="643051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282B99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7647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32" w:type="dxa"/>
            <w:shd w:val="clear" w:color="auto" w:fill="auto"/>
            <w:vAlign w:val="center"/>
          </w:tcPr>
          <w:p w14:paraId="60D7C4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F1-score</w:t>
            </w:r>
          </w:p>
        </w:tc>
        <w:tc>
          <w:tcPr>
            <w:tcW w:w="3584" w:type="dxa"/>
            <w:shd w:val="clear" w:color="auto" w:fill="auto"/>
            <w:vAlign w:val="center"/>
          </w:tcPr>
          <w:p w14:paraId="0F7E40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08ACC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4AE5C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32" w:type="dxa"/>
            <w:shd w:val="clear" w:color="auto" w:fill="auto"/>
            <w:vAlign w:val="center"/>
          </w:tcPr>
          <w:p w14:paraId="5E9C29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MAE/MSE（回归类）</w:t>
            </w:r>
          </w:p>
        </w:tc>
        <w:tc>
          <w:tcPr>
            <w:tcW w:w="3584" w:type="dxa"/>
            <w:shd w:val="clear" w:color="auto" w:fill="auto"/>
            <w:vAlign w:val="center"/>
          </w:tcPr>
          <w:p w14:paraId="7E698C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11" w:type="dxa"/>
            <w:shd w:val="clear" w:color="auto" w:fill="auto"/>
            <w:vAlign w:val="center"/>
          </w:tcPr>
          <w:p w14:paraId="2980E42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5668A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32" w:type="dxa"/>
            <w:shd w:val="clear" w:color="auto" w:fill="auto"/>
            <w:vAlign w:val="center"/>
          </w:tcPr>
          <w:p w14:paraId="7C35FB8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外部验证结果</w:t>
            </w:r>
          </w:p>
        </w:tc>
        <w:tc>
          <w:tcPr>
            <w:tcW w:w="3584" w:type="dxa"/>
            <w:shd w:val="clear" w:color="auto" w:fill="auto"/>
            <w:vAlign w:val="center"/>
          </w:tcPr>
          <w:p w14:paraId="52A0DA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多中心</w:t>
            </w:r>
          </w:p>
        </w:tc>
        <w:tc>
          <w:tcPr>
            <w:tcW w:w="1011" w:type="dxa"/>
            <w:shd w:val="clear" w:color="auto" w:fill="auto"/>
            <w:vAlign w:val="center"/>
          </w:tcPr>
          <w:p w14:paraId="011F834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3B53D176">
      <w:pPr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</w:p>
    <w:p w14:paraId="005A926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四、统一CRF编码规范（适用于三类项目）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47"/>
        <w:gridCol w:w="6300"/>
      </w:tblGrid>
      <w:tr w14:paraId="57EC09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835530F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类别</w:t>
            </w:r>
          </w:p>
        </w:tc>
        <w:tc>
          <w:tcPr>
            <w:tcW w:w="6255" w:type="dxa"/>
            <w:shd w:val="clear" w:color="auto" w:fill="auto"/>
            <w:vAlign w:val="center"/>
          </w:tcPr>
          <w:p w14:paraId="56284F5C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编码方式</w:t>
            </w:r>
          </w:p>
        </w:tc>
      </w:tr>
      <w:tr w14:paraId="1053F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1E5872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枚举型</w:t>
            </w:r>
          </w:p>
        </w:tc>
        <w:tc>
          <w:tcPr>
            <w:tcW w:w="6255" w:type="dxa"/>
            <w:shd w:val="clear" w:color="auto" w:fill="auto"/>
            <w:vAlign w:val="center"/>
          </w:tcPr>
          <w:p w14:paraId="664F29C7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1/2/3…</w:t>
            </w:r>
          </w:p>
        </w:tc>
      </w:tr>
      <w:tr w14:paraId="1B0BB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6C1C8758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布尔型</w:t>
            </w:r>
          </w:p>
        </w:tc>
        <w:tc>
          <w:tcPr>
            <w:tcW w:w="6255" w:type="dxa"/>
            <w:shd w:val="clear" w:color="auto" w:fill="auto"/>
            <w:vAlign w:val="center"/>
          </w:tcPr>
          <w:p w14:paraId="129E9EEC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0=否 / 1=是</w:t>
            </w:r>
          </w:p>
        </w:tc>
      </w:tr>
      <w:tr w14:paraId="4F1A90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5C79403D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文本型</w:t>
            </w:r>
          </w:p>
        </w:tc>
        <w:tc>
          <w:tcPr>
            <w:tcW w:w="6255" w:type="dxa"/>
            <w:shd w:val="clear" w:color="auto" w:fill="auto"/>
            <w:vAlign w:val="center"/>
          </w:tcPr>
          <w:p w14:paraId="699B448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UTF-8 长文本</w:t>
            </w:r>
          </w:p>
        </w:tc>
      </w:tr>
      <w:tr w14:paraId="2EE3E3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2C55949D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日期型</w:t>
            </w:r>
          </w:p>
        </w:tc>
        <w:tc>
          <w:tcPr>
            <w:tcW w:w="6255" w:type="dxa"/>
            <w:shd w:val="clear" w:color="auto" w:fill="auto"/>
            <w:vAlign w:val="center"/>
          </w:tcPr>
          <w:p w14:paraId="516DA2C1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YYYY-MM-DD</w:t>
            </w:r>
          </w:p>
        </w:tc>
      </w:tr>
      <w:tr w14:paraId="69C2E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02" w:type="dxa"/>
            <w:shd w:val="clear" w:color="auto" w:fill="auto"/>
            <w:vAlign w:val="center"/>
          </w:tcPr>
          <w:p w14:paraId="4064DA21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术中事件</w:t>
            </w:r>
          </w:p>
        </w:tc>
        <w:tc>
          <w:tcPr>
            <w:tcW w:w="6255" w:type="dxa"/>
            <w:shd w:val="clear" w:color="auto" w:fill="auto"/>
            <w:vAlign w:val="center"/>
          </w:tcPr>
          <w:p w14:paraId="0D27EFDF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采用 SNOMED/自定义编码</w:t>
            </w:r>
          </w:p>
        </w:tc>
      </w:tr>
    </w:tbl>
    <w:p w14:paraId="03DD426D">
      <w:pPr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</w:p>
    <w:bookmarkEnd w:id="79"/>
    <w:bookmarkEnd w:id="80"/>
    <w:p w14:paraId="29D7059B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附件7 </w:t>
      </w:r>
      <w:r>
        <w:rPr>
          <w:rFonts w:hint="eastAsia" w:ascii="黑体" w:hAnsi="黑体" w:eastAsia="黑体" w:cs="黑体"/>
        </w:rPr>
        <w:t>数据字典模板</w:t>
      </w:r>
    </w:p>
    <w:p w14:paraId="70587E64">
      <w:pPr>
        <w:bidi w:val="0"/>
        <w:rPr>
          <w:rFonts w:hint="eastAsia"/>
          <w:b/>
          <w:bCs/>
        </w:rPr>
      </w:pPr>
      <w:bookmarkStart w:id="81" w:name="一数据字典总体结构适用于rws-工程-ai"/>
      <w:r>
        <w:rPr>
          <w:rFonts w:hint="eastAsia"/>
          <w:b/>
          <w:bCs/>
        </w:rPr>
        <w:t>一、数据字典总体结构（适用于RWS / 工程 / AI）</w:t>
      </w:r>
    </w:p>
    <w:p w14:paraId="32029C45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字段名称（Variable Name）</w:t>
      </w:r>
    </w:p>
    <w:p w14:paraId="1AD88A6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中文名称（Chinese Label）</w:t>
      </w:r>
    </w:p>
    <w:p w14:paraId="0DE1467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英文名称（English Label）</w:t>
      </w:r>
    </w:p>
    <w:p w14:paraId="20A123FC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数据类型（Data Type：numeric/string/date）</w:t>
      </w:r>
    </w:p>
    <w:p w14:paraId="36907891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取值范围（Value Range/Domain）</w:t>
      </w:r>
    </w:p>
    <w:p w14:paraId="106DDC0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编码规则（Coding Rule）</w:t>
      </w:r>
    </w:p>
    <w:p w14:paraId="3146A41D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字段定义（Operational Definition）</w:t>
      </w:r>
    </w:p>
    <w:p w14:paraId="5853F9B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填写说明（Instruction）</w:t>
      </w:r>
    </w:p>
    <w:p w14:paraId="69643E45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数据来源（Source：CRF/设备/接口/算法）</w:t>
      </w:r>
    </w:p>
    <w:p w14:paraId="5A952FB1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质控规则（DQC Rule）</w:t>
      </w:r>
    </w:p>
    <w:p w14:paraId="493E29BA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是否核心字段（Core / Non-core）</w:t>
      </w:r>
    </w:p>
    <w:bookmarkEnd w:id="81"/>
    <w:p w14:paraId="37D821D2">
      <w:pPr>
        <w:bidi w:val="0"/>
        <w:rPr>
          <w:rFonts w:hint="eastAsia" w:ascii="楷体" w:hAnsi="楷体" w:eastAsia="楷体" w:cs="楷体"/>
          <w:b/>
          <w:bCs/>
        </w:rPr>
      </w:pPr>
      <w:bookmarkStart w:id="82" w:name="二rws版数据字典real-world-study"/>
      <w:r>
        <w:rPr>
          <w:rFonts w:hint="eastAsia" w:ascii="楷体" w:hAnsi="楷体" w:eastAsia="楷体" w:cs="楷体"/>
          <w:b/>
          <w:bCs/>
        </w:rPr>
        <w:t>二、RWS版数据字典（Real-World Study）</w:t>
      </w:r>
    </w:p>
    <w:p w14:paraId="58D9AADB">
      <w:pPr>
        <w:bidi w:val="0"/>
        <w:rPr>
          <w:rFonts w:hint="eastAsia" w:ascii="楷体" w:hAnsi="楷体" w:eastAsia="楷体" w:cs="楷体"/>
          <w:b/>
          <w:bCs/>
        </w:rPr>
      </w:pPr>
      <w:bookmarkStart w:id="83" w:name="基线信息baseline"/>
      <w:r>
        <w:rPr>
          <w:rFonts w:hint="eastAsia" w:ascii="楷体" w:hAnsi="楷体" w:eastAsia="楷体" w:cs="楷体"/>
          <w:b/>
          <w:bCs/>
        </w:rPr>
        <w:t>1. 基线信息（Baseline）</w:t>
      </w:r>
    </w:p>
    <w:tbl>
      <w:tblPr>
        <w:tblStyle w:val="167"/>
        <w:tblW w:w="89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6"/>
        <w:gridCol w:w="985"/>
        <w:gridCol w:w="1371"/>
        <w:gridCol w:w="1078"/>
        <w:gridCol w:w="750"/>
        <w:gridCol w:w="656"/>
        <w:gridCol w:w="786"/>
        <w:gridCol w:w="645"/>
        <w:gridCol w:w="971"/>
        <w:gridCol w:w="452"/>
      </w:tblGrid>
      <w:tr w14:paraId="4A171A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058" w:type="dxa"/>
            <w:vAlign w:val="center"/>
          </w:tcPr>
          <w:p w14:paraId="15118DD5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字段名称</w:t>
            </w:r>
          </w:p>
        </w:tc>
        <w:tc>
          <w:tcPr>
            <w:tcW w:w="1051" w:type="dxa"/>
            <w:vAlign w:val="center"/>
          </w:tcPr>
          <w:p w14:paraId="61DA9632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中文名称</w:t>
            </w:r>
          </w:p>
        </w:tc>
        <w:tc>
          <w:tcPr>
            <w:tcW w:w="1371" w:type="dxa"/>
            <w:vAlign w:val="center"/>
          </w:tcPr>
          <w:p w14:paraId="756686D5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数据类型</w:t>
            </w:r>
          </w:p>
        </w:tc>
        <w:tc>
          <w:tcPr>
            <w:tcW w:w="1106" w:type="dxa"/>
            <w:vAlign w:val="center"/>
          </w:tcPr>
          <w:p w14:paraId="19E09BAE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取值范围</w:t>
            </w:r>
          </w:p>
        </w:tc>
        <w:tc>
          <w:tcPr>
            <w:tcW w:w="764" w:type="dxa"/>
            <w:vAlign w:val="center"/>
          </w:tcPr>
          <w:p w14:paraId="225AC1D9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编码规则</w:t>
            </w:r>
          </w:p>
        </w:tc>
        <w:tc>
          <w:tcPr>
            <w:tcW w:w="683" w:type="dxa"/>
            <w:vAlign w:val="center"/>
          </w:tcPr>
          <w:p w14:paraId="2ED052B2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字段定义</w:t>
            </w:r>
          </w:p>
        </w:tc>
        <w:tc>
          <w:tcPr>
            <w:tcW w:w="828" w:type="dxa"/>
            <w:vAlign w:val="center"/>
          </w:tcPr>
          <w:p w14:paraId="0EC494CA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填写说明</w:t>
            </w:r>
          </w:p>
        </w:tc>
        <w:tc>
          <w:tcPr>
            <w:tcW w:w="659" w:type="dxa"/>
            <w:vAlign w:val="center"/>
          </w:tcPr>
          <w:p w14:paraId="504B389E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数据来源</w:t>
            </w:r>
          </w:p>
        </w:tc>
        <w:tc>
          <w:tcPr>
            <w:tcW w:w="986" w:type="dxa"/>
            <w:vAlign w:val="center"/>
          </w:tcPr>
          <w:p w14:paraId="4C3E72BB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质控规则</w:t>
            </w:r>
          </w:p>
        </w:tc>
        <w:tc>
          <w:tcPr>
            <w:tcW w:w="454" w:type="dxa"/>
            <w:vAlign w:val="center"/>
          </w:tcPr>
          <w:p w14:paraId="4C102BD4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核心</w:t>
            </w:r>
          </w:p>
        </w:tc>
      </w:tr>
      <w:tr w14:paraId="73506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8" w:type="dxa"/>
            <w:vAlign w:val="center"/>
          </w:tcPr>
          <w:p w14:paraId="07C93945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patient_id</w:t>
            </w:r>
          </w:p>
        </w:tc>
        <w:tc>
          <w:tcPr>
            <w:tcW w:w="1051" w:type="dxa"/>
            <w:vAlign w:val="center"/>
          </w:tcPr>
          <w:p w14:paraId="2D2C1C23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患者唯一编号</w:t>
            </w:r>
          </w:p>
        </w:tc>
        <w:tc>
          <w:tcPr>
            <w:tcW w:w="1371" w:type="dxa"/>
            <w:vAlign w:val="center"/>
          </w:tcPr>
          <w:p w14:paraId="65D41827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string</w:t>
            </w:r>
          </w:p>
        </w:tc>
        <w:tc>
          <w:tcPr>
            <w:tcW w:w="1106" w:type="dxa"/>
            <w:vAlign w:val="center"/>
          </w:tcPr>
          <w:p w14:paraId="5F06D705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8–20字符</w:t>
            </w:r>
          </w:p>
        </w:tc>
        <w:tc>
          <w:tcPr>
            <w:tcW w:w="764" w:type="dxa"/>
            <w:vAlign w:val="center"/>
          </w:tcPr>
          <w:p w14:paraId="723E94E9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HIS编号规则</w:t>
            </w:r>
          </w:p>
        </w:tc>
        <w:tc>
          <w:tcPr>
            <w:tcW w:w="683" w:type="dxa"/>
            <w:vAlign w:val="center"/>
          </w:tcPr>
          <w:p w14:paraId="62B12A2A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研究对象的唯一标识符</w:t>
            </w:r>
          </w:p>
        </w:tc>
        <w:tc>
          <w:tcPr>
            <w:tcW w:w="828" w:type="dxa"/>
            <w:vAlign w:val="center"/>
          </w:tcPr>
          <w:p w14:paraId="5A77CFC9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自动从系统抽取</w:t>
            </w:r>
          </w:p>
        </w:tc>
        <w:tc>
          <w:tcPr>
            <w:tcW w:w="659" w:type="dxa"/>
            <w:vAlign w:val="center"/>
          </w:tcPr>
          <w:p w14:paraId="486F529A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HIS</w:t>
            </w:r>
          </w:p>
        </w:tc>
        <w:tc>
          <w:tcPr>
            <w:tcW w:w="986" w:type="dxa"/>
            <w:vAlign w:val="center"/>
          </w:tcPr>
          <w:p w14:paraId="6679853E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不允许空值</w:t>
            </w:r>
          </w:p>
        </w:tc>
        <w:tc>
          <w:tcPr>
            <w:tcW w:w="454" w:type="dxa"/>
            <w:vAlign w:val="center"/>
          </w:tcPr>
          <w:p w14:paraId="6B8F4FEC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是</w:t>
            </w:r>
          </w:p>
        </w:tc>
      </w:tr>
      <w:tr w14:paraId="68B2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8" w:type="dxa"/>
            <w:vAlign w:val="center"/>
          </w:tcPr>
          <w:p w14:paraId="1D0E81FE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age</w:t>
            </w:r>
          </w:p>
        </w:tc>
        <w:tc>
          <w:tcPr>
            <w:tcW w:w="1051" w:type="dxa"/>
            <w:vAlign w:val="center"/>
          </w:tcPr>
          <w:p w14:paraId="7B97E7F5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年龄</w:t>
            </w:r>
          </w:p>
        </w:tc>
        <w:tc>
          <w:tcPr>
            <w:tcW w:w="1371" w:type="dxa"/>
            <w:vAlign w:val="center"/>
          </w:tcPr>
          <w:p w14:paraId="43E54F2B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numeric</w:t>
            </w:r>
          </w:p>
        </w:tc>
        <w:tc>
          <w:tcPr>
            <w:tcW w:w="1106" w:type="dxa"/>
            <w:vAlign w:val="center"/>
          </w:tcPr>
          <w:p w14:paraId="6162E1B0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0–120</w:t>
            </w:r>
          </w:p>
        </w:tc>
        <w:tc>
          <w:tcPr>
            <w:tcW w:w="764" w:type="dxa"/>
            <w:vAlign w:val="center"/>
          </w:tcPr>
          <w:p w14:paraId="3269FE58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整数</w:t>
            </w:r>
          </w:p>
        </w:tc>
        <w:tc>
          <w:tcPr>
            <w:tcW w:w="683" w:type="dxa"/>
            <w:vAlign w:val="center"/>
          </w:tcPr>
          <w:p w14:paraId="65E6A4FA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入院当天的实际年龄</w:t>
            </w:r>
          </w:p>
        </w:tc>
        <w:tc>
          <w:tcPr>
            <w:tcW w:w="828" w:type="dxa"/>
            <w:vAlign w:val="center"/>
          </w:tcPr>
          <w:p w14:paraId="1A4976CA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自动或人工核对</w:t>
            </w:r>
          </w:p>
        </w:tc>
        <w:tc>
          <w:tcPr>
            <w:tcW w:w="659" w:type="dxa"/>
            <w:vAlign w:val="center"/>
          </w:tcPr>
          <w:p w14:paraId="0FDADACE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HIS</w:t>
            </w:r>
          </w:p>
        </w:tc>
        <w:tc>
          <w:tcPr>
            <w:tcW w:w="986" w:type="dxa"/>
            <w:vAlign w:val="center"/>
          </w:tcPr>
          <w:p w14:paraId="749E5692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年龄&lt;0或&gt;120报警</w:t>
            </w:r>
          </w:p>
        </w:tc>
        <w:tc>
          <w:tcPr>
            <w:tcW w:w="454" w:type="dxa"/>
            <w:vAlign w:val="center"/>
          </w:tcPr>
          <w:p w14:paraId="3DA1A3E5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是</w:t>
            </w:r>
          </w:p>
        </w:tc>
      </w:tr>
      <w:tr w14:paraId="7AD4C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058" w:type="dxa"/>
            <w:vAlign w:val="center"/>
          </w:tcPr>
          <w:p w14:paraId="3CCA492B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sex</w:t>
            </w:r>
          </w:p>
        </w:tc>
        <w:tc>
          <w:tcPr>
            <w:tcW w:w="1051" w:type="dxa"/>
            <w:vAlign w:val="center"/>
          </w:tcPr>
          <w:p w14:paraId="0CB92AFA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性别</w:t>
            </w:r>
          </w:p>
        </w:tc>
        <w:tc>
          <w:tcPr>
            <w:tcW w:w="1371" w:type="dxa"/>
            <w:vAlign w:val="center"/>
          </w:tcPr>
          <w:p w14:paraId="1B72A0C9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categorical</w:t>
            </w:r>
          </w:p>
        </w:tc>
        <w:tc>
          <w:tcPr>
            <w:tcW w:w="1106" w:type="dxa"/>
            <w:vAlign w:val="center"/>
          </w:tcPr>
          <w:p w14:paraId="46F374C2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1/2</w:t>
            </w:r>
          </w:p>
        </w:tc>
        <w:tc>
          <w:tcPr>
            <w:tcW w:w="764" w:type="dxa"/>
            <w:vAlign w:val="center"/>
          </w:tcPr>
          <w:p w14:paraId="41B4E1F9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1=男；2=女</w:t>
            </w:r>
          </w:p>
        </w:tc>
        <w:tc>
          <w:tcPr>
            <w:tcW w:w="683" w:type="dxa"/>
            <w:vAlign w:val="center"/>
          </w:tcPr>
          <w:p w14:paraId="38D3BBDA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生物学性别</w:t>
            </w:r>
          </w:p>
        </w:tc>
        <w:tc>
          <w:tcPr>
            <w:tcW w:w="828" w:type="dxa"/>
            <w:vAlign w:val="center"/>
          </w:tcPr>
          <w:p w14:paraId="3C17D4D9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自动抽取</w:t>
            </w:r>
          </w:p>
        </w:tc>
        <w:tc>
          <w:tcPr>
            <w:tcW w:w="659" w:type="dxa"/>
            <w:vAlign w:val="center"/>
          </w:tcPr>
          <w:p w14:paraId="10037D63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HIS</w:t>
            </w:r>
          </w:p>
        </w:tc>
        <w:tc>
          <w:tcPr>
            <w:tcW w:w="986" w:type="dxa"/>
            <w:vAlign w:val="center"/>
          </w:tcPr>
          <w:p w14:paraId="7FCBB80B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与病历一致</w:t>
            </w:r>
          </w:p>
        </w:tc>
        <w:tc>
          <w:tcPr>
            <w:tcW w:w="454" w:type="dxa"/>
            <w:vAlign w:val="center"/>
          </w:tcPr>
          <w:p w14:paraId="572AEFE8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是</w:t>
            </w:r>
          </w:p>
        </w:tc>
      </w:tr>
      <w:bookmarkEnd w:id="83"/>
    </w:tbl>
    <w:p w14:paraId="68CF323B">
      <w:pPr>
        <w:bidi w:val="0"/>
        <w:rPr>
          <w:rFonts w:hint="eastAsia" w:ascii="楷体" w:hAnsi="楷体" w:eastAsia="楷体" w:cs="楷体"/>
          <w:b/>
          <w:bCs/>
        </w:rPr>
      </w:pPr>
      <w:bookmarkStart w:id="84" w:name="主要临床变量"/>
      <w:r>
        <w:rPr>
          <w:rFonts w:hint="eastAsia" w:ascii="楷体" w:hAnsi="楷体" w:eastAsia="楷体" w:cs="楷体"/>
          <w:b/>
          <w:bCs/>
        </w:rPr>
        <w:t>2. 主要临床变量</w:t>
      </w:r>
    </w:p>
    <w:tbl>
      <w:tblPr>
        <w:tblStyle w:val="167"/>
        <w:tblW w:w="893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1"/>
        <w:gridCol w:w="1596"/>
        <w:gridCol w:w="1405"/>
        <w:gridCol w:w="2157"/>
        <w:gridCol w:w="1727"/>
      </w:tblGrid>
      <w:tr w14:paraId="0A2B33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2051" w:type="dxa"/>
            <w:vAlign w:val="center"/>
          </w:tcPr>
          <w:p w14:paraId="12FEDDDF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字段名称</w:t>
            </w:r>
          </w:p>
        </w:tc>
        <w:tc>
          <w:tcPr>
            <w:tcW w:w="1596" w:type="dxa"/>
            <w:vAlign w:val="center"/>
          </w:tcPr>
          <w:p w14:paraId="119B90D2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中文名称</w:t>
            </w:r>
          </w:p>
        </w:tc>
        <w:tc>
          <w:tcPr>
            <w:tcW w:w="1405" w:type="dxa"/>
            <w:vAlign w:val="center"/>
          </w:tcPr>
          <w:p w14:paraId="577F2C8F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数据类型</w:t>
            </w:r>
          </w:p>
        </w:tc>
        <w:tc>
          <w:tcPr>
            <w:tcW w:w="2157" w:type="dxa"/>
            <w:vAlign w:val="center"/>
          </w:tcPr>
          <w:p w14:paraId="1C03B457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编码规则</w:t>
            </w:r>
          </w:p>
        </w:tc>
        <w:tc>
          <w:tcPr>
            <w:tcW w:w="1727" w:type="dxa"/>
            <w:vAlign w:val="center"/>
          </w:tcPr>
          <w:p w14:paraId="38A0E3E5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定义</w:t>
            </w:r>
          </w:p>
        </w:tc>
      </w:tr>
      <w:tr w14:paraId="1123C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51" w:type="dxa"/>
            <w:vAlign w:val="center"/>
          </w:tcPr>
          <w:p w14:paraId="1FC8052A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dx_primary</w:t>
            </w:r>
          </w:p>
        </w:tc>
        <w:tc>
          <w:tcPr>
            <w:tcW w:w="1596" w:type="dxa"/>
            <w:vAlign w:val="center"/>
          </w:tcPr>
          <w:p w14:paraId="5FBCE238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主要诊断</w:t>
            </w:r>
          </w:p>
        </w:tc>
        <w:tc>
          <w:tcPr>
            <w:tcW w:w="1405" w:type="dxa"/>
            <w:vAlign w:val="center"/>
          </w:tcPr>
          <w:p w14:paraId="54BDA7C8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string</w:t>
            </w:r>
          </w:p>
        </w:tc>
        <w:tc>
          <w:tcPr>
            <w:tcW w:w="2157" w:type="dxa"/>
            <w:vAlign w:val="center"/>
          </w:tcPr>
          <w:p w14:paraId="24011583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ICD-10</w:t>
            </w:r>
          </w:p>
        </w:tc>
        <w:tc>
          <w:tcPr>
            <w:tcW w:w="1727" w:type="dxa"/>
            <w:vAlign w:val="center"/>
          </w:tcPr>
          <w:p w14:paraId="2437EE47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住院主要诊断</w:t>
            </w:r>
          </w:p>
        </w:tc>
      </w:tr>
      <w:tr w14:paraId="2A7D2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51" w:type="dxa"/>
            <w:vAlign w:val="center"/>
          </w:tcPr>
          <w:p w14:paraId="72398D78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surgery_type</w:t>
            </w:r>
          </w:p>
        </w:tc>
        <w:tc>
          <w:tcPr>
            <w:tcW w:w="1596" w:type="dxa"/>
            <w:vAlign w:val="center"/>
          </w:tcPr>
          <w:p w14:paraId="1C9818A6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手术方式</w:t>
            </w:r>
          </w:p>
        </w:tc>
        <w:tc>
          <w:tcPr>
            <w:tcW w:w="1405" w:type="dxa"/>
            <w:vAlign w:val="center"/>
          </w:tcPr>
          <w:p w14:paraId="304F3D3D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categorical</w:t>
            </w:r>
          </w:p>
        </w:tc>
        <w:tc>
          <w:tcPr>
            <w:tcW w:w="2157" w:type="dxa"/>
            <w:vAlign w:val="center"/>
          </w:tcPr>
          <w:p w14:paraId="6948CC43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1–10</w:t>
            </w:r>
          </w:p>
        </w:tc>
        <w:tc>
          <w:tcPr>
            <w:tcW w:w="1727" w:type="dxa"/>
            <w:vAlign w:val="center"/>
          </w:tcPr>
          <w:p w14:paraId="0B78B125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各手术编码清单</w:t>
            </w:r>
          </w:p>
        </w:tc>
      </w:tr>
      <w:tr w14:paraId="2A6AC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2051" w:type="dxa"/>
            <w:vAlign w:val="center"/>
          </w:tcPr>
          <w:p w14:paraId="1DDD5276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peri_complication</w:t>
            </w:r>
          </w:p>
        </w:tc>
        <w:tc>
          <w:tcPr>
            <w:tcW w:w="1596" w:type="dxa"/>
            <w:vAlign w:val="center"/>
          </w:tcPr>
          <w:p w14:paraId="72AA161D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围术期并发症</w:t>
            </w:r>
          </w:p>
        </w:tc>
        <w:tc>
          <w:tcPr>
            <w:tcW w:w="1405" w:type="dxa"/>
            <w:vAlign w:val="center"/>
          </w:tcPr>
          <w:p w14:paraId="7B1221BD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categorical</w:t>
            </w:r>
          </w:p>
        </w:tc>
        <w:tc>
          <w:tcPr>
            <w:tcW w:w="2157" w:type="dxa"/>
            <w:vAlign w:val="center"/>
          </w:tcPr>
          <w:p w14:paraId="2F259A47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Clavien-Dindo I–V</w:t>
            </w:r>
          </w:p>
        </w:tc>
        <w:tc>
          <w:tcPr>
            <w:tcW w:w="1727" w:type="dxa"/>
            <w:vAlign w:val="center"/>
          </w:tcPr>
          <w:p w14:paraId="2DDED561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并发症分级</w:t>
            </w:r>
          </w:p>
        </w:tc>
      </w:tr>
      <w:bookmarkEnd w:id="84"/>
    </w:tbl>
    <w:p w14:paraId="0AFDDA7D">
      <w:pPr>
        <w:bidi w:val="0"/>
        <w:rPr>
          <w:rFonts w:hint="eastAsia" w:ascii="楷体" w:hAnsi="楷体" w:eastAsia="楷体" w:cs="楷体"/>
          <w:b/>
          <w:bCs/>
        </w:rPr>
      </w:pPr>
      <w:bookmarkStart w:id="85" w:name="随访数据"/>
      <w:r>
        <w:rPr>
          <w:rFonts w:hint="eastAsia" w:ascii="楷体" w:hAnsi="楷体" w:eastAsia="楷体" w:cs="楷体"/>
          <w:b/>
          <w:bCs/>
        </w:rPr>
        <w:t>3. 随访数据</w:t>
      </w:r>
    </w:p>
    <w:bookmarkEnd w:id="82"/>
    <w:bookmarkEnd w:id="85"/>
    <w:tbl>
      <w:tblPr>
        <w:tblStyle w:val="167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4"/>
        <w:gridCol w:w="2322"/>
        <w:gridCol w:w="1452"/>
        <w:gridCol w:w="1452"/>
        <w:gridCol w:w="2031"/>
      </w:tblGrid>
      <w:tr w14:paraId="13378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94" w:type="dxa"/>
            <w:vAlign w:val="center"/>
          </w:tcPr>
          <w:p w14:paraId="1BC871E4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bookmarkStart w:id="86" w:name="三工程研发版数据字典engineering-study"/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字段名称</w:t>
            </w:r>
          </w:p>
        </w:tc>
        <w:tc>
          <w:tcPr>
            <w:tcW w:w="2322" w:type="dxa"/>
            <w:vAlign w:val="center"/>
          </w:tcPr>
          <w:p w14:paraId="77F7B38A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中文名称</w:t>
            </w:r>
          </w:p>
        </w:tc>
        <w:tc>
          <w:tcPr>
            <w:tcW w:w="1452" w:type="dxa"/>
            <w:vAlign w:val="center"/>
          </w:tcPr>
          <w:p w14:paraId="2EDDC3D0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数据类型</w:t>
            </w:r>
          </w:p>
        </w:tc>
        <w:tc>
          <w:tcPr>
            <w:tcW w:w="1452" w:type="dxa"/>
            <w:vAlign w:val="center"/>
          </w:tcPr>
          <w:p w14:paraId="7C234959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值域范围</w:t>
            </w:r>
          </w:p>
        </w:tc>
        <w:tc>
          <w:tcPr>
            <w:tcW w:w="2031" w:type="dxa"/>
            <w:vAlign w:val="center"/>
          </w:tcPr>
          <w:p w14:paraId="585E68FB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定义</w:t>
            </w:r>
          </w:p>
        </w:tc>
      </w:tr>
      <w:tr w14:paraId="597AF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4" w:type="dxa"/>
            <w:vAlign w:val="center"/>
          </w:tcPr>
          <w:p w14:paraId="717399DE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fu_time</w:t>
            </w:r>
          </w:p>
        </w:tc>
        <w:tc>
          <w:tcPr>
            <w:tcW w:w="2322" w:type="dxa"/>
            <w:vAlign w:val="center"/>
          </w:tcPr>
          <w:p w14:paraId="682B4E72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随访时间（月）</w:t>
            </w:r>
          </w:p>
        </w:tc>
        <w:tc>
          <w:tcPr>
            <w:tcW w:w="1452" w:type="dxa"/>
            <w:vAlign w:val="center"/>
          </w:tcPr>
          <w:p w14:paraId="3DE7FD3D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numeric</w:t>
            </w:r>
          </w:p>
        </w:tc>
        <w:tc>
          <w:tcPr>
            <w:tcW w:w="1452" w:type="dxa"/>
            <w:vAlign w:val="center"/>
          </w:tcPr>
          <w:p w14:paraId="3B08C71E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0–120</w:t>
            </w:r>
          </w:p>
        </w:tc>
        <w:tc>
          <w:tcPr>
            <w:tcW w:w="2031" w:type="dxa"/>
            <w:vAlign w:val="center"/>
          </w:tcPr>
          <w:p w14:paraId="6C8DD33E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术后随访时间</w:t>
            </w:r>
          </w:p>
        </w:tc>
      </w:tr>
      <w:tr w14:paraId="28648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94" w:type="dxa"/>
            <w:vAlign w:val="center"/>
          </w:tcPr>
          <w:p w14:paraId="2DBF5B55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qol_score</w:t>
            </w:r>
          </w:p>
        </w:tc>
        <w:tc>
          <w:tcPr>
            <w:tcW w:w="2322" w:type="dxa"/>
            <w:vAlign w:val="center"/>
          </w:tcPr>
          <w:p w14:paraId="53E8C773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生活质量评分</w:t>
            </w:r>
          </w:p>
        </w:tc>
        <w:tc>
          <w:tcPr>
            <w:tcW w:w="1452" w:type="dxa"/>
            <w:vAlign w:val="center"/>
          </w:tcPr>
          <w:p w14:paraId="23C4CD2A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numeric</w:t>
            </w:r>
          </w:p>
        </w:tc>
        <w:tc>
          <w:tcPr>
            <w:tcW w:w="1452" w:type="dxa"/>
            <w:vAlign w:val="center"/>
          </w:tcPr>
          <w:p w14:paraId="3526C634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0–100</w:t>
            </w:r>
          </w:p>
        </w:tc>
        <w:tc>
          <w:tcPr>
            <w:tcW w:w="2031" w:type="dxa"/>
            <w:vAlign w:val="center"/>
          </w:tcPr>
          <w:p w14:paraId="1579B828">
            <w:pPr>
              <w:pStyle w:val="16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量表评分</w:t>
            </w:r>
          </w:p>
        </w:tc>
      </w:tr>
    </w:tbl>
    <w:p w14:paraId="2EAA05F1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三、工程研发版数据字典（Engineering Study）</w:t>
      </w:r>
    </w:p>
    <w:p w14:paraId="5DFBC0E9">
      <w:pPr>
        <w:bidi w:val="0"/>
        <w:rPr>
          <w:rFonts w:hint="eastAsia" w:ascii="楷体" w:hAnsi="楷体" w:eastAsia="楷体" w:cs="楷体"/>
          <w:b/>
          <w:bCs/>
        </w:rPr>
      </w:pPr>
      <w:bookmarkStart w:id="87" w:name="装置与系统参数"/>
      <w:r>
        <w:rPr>
          <w:rFonts w:hint="eastAsia" w:ascii="楷体" w:hAnsi="楷体" w:eastAsia="楷体" w:cs="楷体"/>
          <w:b/>
          <w:bCs/>
        </w:rPr>
        <w:t>1. 装置与系统参数</w:t>
      </w:r>
    </w:p>
    <w:tbl>
      <w:tblPr>
        <w:tblStyle w:val="167"/>
        <w:tblW w:w="90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6"/>
        <w:gridCol w:w="1386"/>
        <w:gridCol w:w="1056"/>
        <w:gridCol w:w="1267"/>
        <w:gridCol w:w="2107"/>
        <w:gridCol w:w="1596"/>
      </w:tblGrid>
      <w:tr w14:paraId="741D0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jc w:val="center"/>
        </w:trPr>
        <w:tc>
          <w:tcPr>
            <w:tcW w:w="1686" w:type="dxa"/>
            <w:vAlign w:val="center"/>
          </w:tcPr>
          <w:p w14:paraId="5AA884AB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字段名称</w:t>
            </w:r>
          </w:p>
        </w:tc>
        <w:tc>
          <w:tcPr>
            <w:tcW w:w="1386" w:type="dxa"/>
            <w:vAlign w:val="center"/>
          </w:tcPr>
          <w:p w14:paraId="35670D78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中文名称</w:t>
            </w:r>
          </w:p>
        </w:tc>
        <w:tc>
          <w:tcPr>
            <w:tcW w:w="1056" w:type="dxa"/>
            <w:vAlign w:val="center"/>
          </w:tcPr>
          <w:p w14:paraId="0B117DDC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数据类型</w:t>
            </w:r>
          </w:p>
        </w:tc>
        <w:tc>
          <w:tcPr>
            <w:tcW w:w="1267" w:type="dxa"/>
            <w:vAlign w:val="center"/>
          </w:tcPr>
          <w:p w14:paraId="3D648D15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取值范围</w:t>
            </w:r>
          </w:p>
        </w:tc>
        <w:tc>
          <w:tcPr>
            <w:tcW w:w="2107" w:type="dxa"/>
            <w:vAlign w:val="center"/>
          </w:tcPr>
          <w:p w14:paraId="3EA51CB1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定义</w:t>
            </w:r>
          </w:p>
        </w:tc>
        <w:tc>
          <w:tcPr>
            <w:tcW w:w="1596" w:type="dxa"/>
            <w:vAlign w:val="center"/>
          </w:tcPr>
          <w:p w14:paraId="4BE5AF8D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来源</w:t>
            </w:r>
          </w:p>
        </w:tc>
      </w:tr>
      <w:tr w14:paraId="2B07D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86" w:type="dxa"/>
            <w:vAlign w:val="center"/>
          </w:tcPr>
          <w:p w14:paraId="1E446098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device_id</w:t>
            </w:r>
          </w:p>
        </w:tc>
        <w:tc>
          <w:tcPr>
            <w:tcW w:w="1386" w:type="dxa"/>
            <w:vAlign w:val="center"/>
          </w:tcPr>
          <w:p w14:paraId="58860FCD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装置编号</w:t>
            </w:r>
          </w:p>
        </w:tc>
        <w:tc>
          <w:tcPr>
            <w:tcW w:w="1056" w:type="dxa"/>
            <w:vAlign w:val="center"/>
          </w:tcPr>
          <w:p w14:paraId="7DF32B4D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string</w:t>
            </w:r>
          </w:p>
        </w:tc>
        <w:tc>
          <w:tcPr>
            <w:tcW w:w="1267" w:type="dxa"/>
            <w:vAlign w:val="center"/>
          </w:tcPr>
          <w:p w14:paraId="692B66E7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自定义</w:t>
            </w:r>
          </w:p>
        </w:tc>
        <w:tc>
          <w:tcPr>
            <w:tcW w:w="2107" w:type="dxa"/>
            <w:vAlign w:val="center"/>
          </w:tcPr>
          <w:p w14:paraId="3CED99A4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工程设备唯一编号</w:t>
            </w:r>
          </w:p>
        </w:tc>
        <w:tc>
          <w:tcPr>
            <w:tcW w:w="1596" w:type="dxa"/>
            <w:vAlign w:val="center"/>
          </w:tcPr>
          <w:p w14:paraId="542AB867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研发记录</w:t>
            </w:r>
          </w:p>
        </w:tc>
      </w:tr>
      <w:tr w14:paraId="6E15A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86" w:type="dxa"/>
            <w:vAlign w:val="center"/>
          </w:tcPr>
          <w:p w14:paraId="513FDF4E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module_version</w:t>
            </w:r>
          </w:p>
        </w:tc>
        <w:tc>
          <w:tcPr>
            <w:tcW w:w="1386" w:type="dxa"/>
            <w:vAlign w:val="center"/>
          </w:tcPr>
          <w:p w14:paraId="09102912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模块版本号</w:t>
            </w:r>
          </w:p>
        </w:tc>
        <w:tc>
          <w:tcPr>
            <w:tcW w:w="1056" w:type="dxa"/>
            <w:vAlign w:val="center"/>
          </w:tcPr>
          <w:p w14:paraId="01E24BCE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string</w:t>
            </w:r>
          </w:p>
        </w:tc>
        <w:tc>
          <w:tcPr>
            <w:tcW w:w="1267" w:type="dxa"/>
            <w:vAlign w:val="center"/>
          </w:tcPr>
          <w:p w14:paraId="35797F7E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v1.x–v3.x</w:t>
            </w:r>
          </w:p>
        </w:tc>
        <w:tc>
          <w:tcPr>
            <w:tcW w:w="2107" w:type="dxa"/>
            <w:vAlign w:val="center"/>
          </w:tcPr>
          <w:p w14:paraId="12DDEB3F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模块升级版本</w:t>
            </w:r>
          </w:p>
        </w:tc>
        <w:tc>
          <w:tcPr>
            <w:tcW w:w="1596" w:type="dxa"/>
            <w:vAlign w:val="center"/>
          </w:tcPr>
          <w:p w14:paraId="0987AB25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版本管理系统</w:t>
            </w:r>
          </w:p>
        </w:tc>
      </w:tr>
      <w:tr w14:paraId="19351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86" w:type="dxa"/>
            <w:vAlign w:val="center"/>
          </w:tcPr>
          <w:p w14:paraId="0ABA2B05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torque_limit</w:t>
            </w:r>
          </w:p>
        </w:tc>
        <w:tc>
          <w:tcPr>
            <w:tcW w:w="1386" w:type="dxa"/>
            <w:vAlign w:val="center"/>
          </w:tcPr>
          <w:p w14:paraId="42A84C79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扭矩上限</w:t>
            </w:r>
          </w:p>
        </w:tc>
        <w:tc>
          <w:tcPr>
            <w:tcW w:w="1056" w:type="dxa"/>
            <w:vAlign w:val="center"/>
          </w:tcPr>
          <w:p w14:paraId="4DBDDE77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numeric</w:t>
            </w:r>
          </w:p>
        </w:tc>
        <w:tc>
          <w:tcPr>
            <w:tcW w:w="1267" w:type="dxa"/>
            <w:vAlign w:val="center"/>
          </w:tcPr>
          <w:p w14:paraId="5A01DA38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0–5 N·m</w:t>
            </w:r>
          </w:p>
        </w:tc>
        <w:tc>
          <w:tcPr>
            <w:tcW w:w="2107" w:type="dxa"/>
            <w:vAlign w:val="center"/>
          </w:tcPr>
          <w:p w14:paraId="4DCCA376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机械臂驱动安全限制</w:t>
            </w:r>
          </w:p>
        </w:tc>
        <w:tc>
          <w:tcPr>
            <w:tcW w:w="1596" w:type="dxa"/>
            <w:vAlign w:val="center"/>
          </w:tcPr>
          <w:p w14:paraId="718FF337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仿真系统</w:t>
            </w:r>
          </w:p>
        </w:tc>
      </w:tr>
      <w:tr w14:paraId="2705F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686" w:type="dxa"/>
            <w:vAlign w:val="center"/>
          </w:tcPr>
          <w:p w14:paraId="032542F9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latency_ms</w:t>
            </w:r>
          </w:p>
        </w:tc>
        <w:tc>
          <w:tcPr>
            <w:tcW w:w="1386" w:type="dxa"/>
            <w:vAlign w:val="center"/>
          </w:tcPr>
          <w:p w14:paraId="43ABCB7F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控制延迟</w:t>
            </w:r>
          </w:p>
        </w:tc>
        <w:tc>
          <w:tcPr>
            <w:tcW w:w="1056" w:type="dxa"/>
            <w:vAlign w:val="center"/>
          </w:tcPr>
          <w:p w14:paraId="754B290B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numeric</w:t>
            </w:r>
          </w:p>
        </w:tc>
        <w:tc>
          <w:tcPr>
            <w:tcW w:w="1267" w:type="dxa"/>
            <w:vAlign w:val="center"/>
          </w:tcPr>
          <w:p w14:paraId="6CA80F81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0–1000 ms</w:t>
            </w:r>
          </w:p>
        </w:tc>
        <w:tc>
          <w:tcPr>
            <w:tcW w:w="2107" w:type="dxa"/>
            <w:vAlign w:val="center"/>
          </w:tcPr>
          <w:p w14:paraId="0C74466B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控制环路时延</w:t>
            </w:r>
          </w:p>
        </w:tc>
        <w:tc>
          <w:tcPr>
            <w:tcW w:w="1596" w:type="dxa"/>
            <w:vAlign w:val="center"/>
          </w:tcPr>
          <w:p w14:paraId="5A80D9D1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真机测试</w:t>
            </w:r>
          </w:p>
        </w:tc>
      </w:tr>
      <w:bookmarkEnd w:id="87"/>
    </w:tbl>
    <w:p w14:paraId="7960E8EA">
      <w:pPr>
        <w:bidi w:val="0"/>
        <w:rPr>
          <w:rFonts w:hint="eastAsia" w:ascii="楷体" w:hAnsi="楷体" w:eastAsia="楷体" w:cs="楷体"/>
          <w:b/>
          <w:bCs/>
        </w:rPr>
      </w:pPr>
      <w:bookmarkStart w:id="88" w:name="功能验证指标"/>
      <w:r>
        <w:rPr>
          <w:rFonts w:hint="eastAsia" w:ascii="楷体" w:hAnsi="楷体" w:eastAsia="楷体" w:cs="楷体"/>
          <w:b/>
          <w:bCs/>
        </w:rPr>
        <w:t>2. 功能验证指标</w:t>
      </w:r>
    </w:p>
    <w:tbl>
      <w:tblPr>
        <w:tblStyle w:val="167"/>
        <w:tblW w:w="88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7"/>
        <w:gridCol w:w="1432"/>
        <w:gridCol w:w="1151"/>
        <w:gridCol w:w="3123"/>
        <w:gridCol w:w="1223"/>
      </w:tblGrid>
      <w:tr w14:paraId="3FDBE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927" w:type="dxa"/>
            <w:vAlign w:val="center"/>
          </w:tcPr>
          <w:p w14:paraId="67105F8D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字段名称</w:t>
            </w:r>
          </w:p>
        </w:tc>
        <w:tc>
          <w:tcPr>
            <w:tcW w:w="1432" w:type="dxa"/>
            <w:vAlign w:val="center"/>
          </w:tcPr>
          <w:p w14:paraId="631CD08C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中文名称</w:t>
            </w:r>
          </w:p>
        </w:tc>
        <w:tc>
          <w:tcPr>
            <w:tcW w:w="1151" w:type="dxa"/>
            <w:vAlign w:val="center"/>
          </w:tcPr>
          <w:p w14:paraId="10194EA1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数据类型</w:t>
            </w:r>
          </w:p>
        </w:tc>
        <w:tc>
          <w:tcPr>
            <w:tcW w:w="3123" w:type="dxa"/>
            <w:vAlign w:val="center"/>
          </w:tcPr>
          <w:p w14:paraId="23DD91AD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定义</w:t>
            </w:r>
          </w:p>
        </w:tc>
        <w:tc>
          <w:tcPr>
            <w:tcW w:w="1223" w:type="dxa"/>
            <w:vAlign w:val="center"/>
          </w:tcPr>
          <w:p w14:paraId="2410240B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检测方法</w:t>
            </w:r>
          </w:p>
        </w:tc>
      </w:tr>
      <w:tr w14:paraId="29285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27" w:type="dxa"/>
            <w:vAlign w:val="center"/>
          </w:tcPr>
          <w:p w14:paraId="2FDA2A52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path_error</w:t>
            </w:r>
          </w:p>
        </w:tc>
        <w:tc>
          <w:tcPr>
            <w:tcW w:w="1432" w:type="dxa"/>
            <w:vAlign w:val="center"/>
          </w:tcPr>
          <w:p w14:paraId="75A36CCE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轨迹误差</w:t>
            </w:r>
          </w:p>
        </w:tc>
        <w:tc>
          <w:tcPr>
            <w:tcW w:w="1151" w:type="dxa"/>
            <w:vAlign w:val="center"/>
          </w:tcPr>
          <w:p w14:paraId="53AE7345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numeric</w:t>
            </w:r>
          </w:p>
        </w:tc>
        <w:tc>
          <w:tcPr>
            <w:tcW w:w="3123" w:type="dxa"/>
            <w:vAlign w:val="center"/>
          </w:tcPr>
          <w:p w14:paraId="42D3747F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实际轨迹与规划轨迹偏差</w:t>
            </w:r>
          </w:p>
        </w:tc>
        <w:tc>
          <w:tcPr>
            <w:tcW w:w="1223" w:type="dxa"/>
            <w:vAlign w:val="center"/>
          </w:tcPr>
          <w:p w14:paraId="33698119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实验测量</w:t>
            </w:r>
          </w:p>
        </w:tc>
      </w:tr>
      <w:tr w14:paraId="3FCE9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27" w:type="dxa"/>
            <w:vAlign w:val="center"/>
          </w:tcPr>
          <w:p w14:paraId="1C6E1476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stability_index</w:t>
            </w:r>
          </w:p>
        </w:tc>
        <w:tc>
          <w:tcPr>
            <w:tcW w:w="1432" w:type="dxa"/>
            <w:vAlign w:val="center"/>
          </w:tcPr>
          <w:p w14:paraId="42866EFC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稳定性指数</w:t>
            </w:r>
          </w:p>
        </w:tc>
        <w:tc>
          <w:tcPr>
            <w:tcW w:w="1151" w:type="dxa"/>
            <w:vAlign w:val="center"/>
          </w:tcPr>
          <w:p w14:paraId="26E66136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numeric</w:t>
            </w:r>
          </w:p>
        </w:tc>
        <w:tc>
          <w:tcPr>
            <w:tcW w:w="3123" w:type="dxa"/>
            <w:vAlign w:val="center"/>
          </w:tcPr>
          <w:p w14:paraId="4E240118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振动幅度、稳腔能力综合指标</w:t>
            </w:r>
          </w:p>
        </w:tc>
        <w:tc>
          <w:tcPr>
            <w:tcW w:w="1223" w:type="dxa"/>
            <w:vAlign w:val="center"/>
          </w:tcPr>
          <w:p w14:paraId="37B24DF9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工程测试</w:t>
            </w:r>
          </w:p>
        </w:tc>
      </w:tr>
    </w:tbl>
    <w:p w14:paraId="03DA0DC5">
      <w:pPr>
        <w:rPr>
          <w:rFonts w:hint="eastAsia" w:ascii="楷体" w:hAnsi="楷体" w:eastAsia="楷体" w:cs="楷体"/>
          <w:sz w:val="21"/>
          <w:szCs w:val="21"/>
        </w:rPr>
      </w:pPr>
    </w:p>
    <w:bookmarkEnd w:id="86"/>
    <w:bookmarkEnd w:id="88"/>
    <w:p w14:paraId="42C2FE4E">
      <w:pPr>
        <w:bidi w:val="0"/>
        <w:rPr>
          <w:rFonts w:hint="eastAsia" w:ascii="楷体" w:hAnsi="楷体" w:eastAsia="楷体" w:cs="楷体"/>
          <w:b/>
          <w:bCs/>
        </w:rPr>
      </w:pPr>
      <w:bookmarkStart w:id="89" w:name="四ai研究版数据字典ai-study"/>
      <w:r>
        <w:rPr>
          <w:rFonts w:hint="eastAsia" w:ascii="楷体" w:hAnsi="楷体" w:eastAsia="楷体" w:cs="楷体"/>
          <w:b/>
          <w:bCs/>
        </w:rPr>
        <w:t>四、AI研究版数据字典（AI Study）</w:t>
      </w:r>
    </w:p>
    <w:p w14:paraId="595989F2">
      <w:pPr>
        <w:bidi w:val="0"/>
        <w:rPr>
          <w:rFonts w:hint="eastAsia" w:ascii="楷体" w:hAnsi="楷体" w:eastAsia="楷体" w:cs="楷体"/>
          <w:b/>
          <w:bCs/>
        </w:rPr>
      </w:pPr>
      <w:bookmarkStart w:id="90" w:name="模型训练数据字段"/>
      <w:r>
        <w:rPr>
          <w:rFonts w:hint="eastAsia" w:ascii="楷体" w:hAnsi="楷体" w:eastAsia="楷体" w:cs="楷体"/>
          <w:b/>
          <w:bCs/>
        </w:rPr>
        <w:t>1. 模型训练数据字段</w:t>
      </w:r>
    </w:p>
    <w:tbl>
      <w:tblPr>
        <w:tblStyle w:val="167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2"/>
        <w:gridCol w:w="1396"/>
        <w:gridCol w:w="1812"/>
        <w:gridCol w:w="2506"/>
        <w:gridCol w:w="1605"/>
      </w:tblGrid>
      <w:tr w14:paraId="6018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532" w:type="dxa"/>
            <w:vAlign w:val="center"/>
          </w:tcPr>
          <w:p w14:paraId="7522A694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字段名称</w:t>
            </w:r>
          </w:p>
        </w:tc>
        <w:tc>
          <w:tcPr>
            <w:tcW w:w="1396" w:type="dxa"/>
            <w:vAlign w:val="center"/>
          </w:tcPr>
          <w:p w14:paraId="064B3B3E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中文名称</w:t>
            </w:r>
          </w:p>
        </w:tc>
        <w:tc>
          <w:tcPr>
            <w:tcW w:w="1812" w:type="dxa"/>
            <w:vAlign w:val="center"/>
          </w:tcPr>
          <w:p w14:paraId="3FF2083C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数据类型</w:t>
            </w:r>
          </w:p>
        </w:tc>
        <w:tc>
          <w:tcPr>
            <w:tcW w:w="2506" w:type="dxa"/>
            <w:vAlign w:val="center"/>
          </w:tcPr>
          <w:p w14:paraId="308A6DFE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定义</w:t>
            </w:r>
          </w:p>
        </w:tc>
        <w:tc>
          <w:tcPr>
            <w:tcW w:w="1605" w:type="dxa"/>
            <w:vAlign w:val="center"/>
          </w:tcPr>
          <w:p w14:paraId="4A96F4A1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数据来源</w:t>
            </w:r>
          </w:p>
        </w:tc>
      </w:tr>
      <w:tr w14:paraId="7E2CC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32" w:type="dxa"/>
            <w:vAlign w:val="center"/>
          </w:tcPr>
          <w:p w14:paraId="1BFAC86E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text_raw</w:t>
            </w:r>
          </w:p>
        </w:tc>
        <w:tc>
          <w:tcPr>
            <w:tcW w:w="1396" w:type="dxa"/>
            <w:vAlign w:val="center"/>
          </w:tcPr>
          <w:p w14:paraId="48BC813D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原始文本</w:t>
            </w:r>
          </w:p>
        </w:tc>
        <w:tc>
          <w:tcPr>
            <w:tcW w:w="1812" w:type="dxa"/>
            <w:vAlign w:val="center"/>
          </w:tcPr>
          <w:p w14:paraId="253F15E1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string</w:t>
            </w:r>
          </w:p>
        </w:tc>
        <w:tc>
          <w:tcPr>
            <w:tcW w:w="2506" w:type="dxa"/>
            <w:vAlign w:val="center"/>
          </w:tcPr>
          <w:p w14:paraId="51219282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病历原文（脱敏）</w:t>
            </w:r>
          </w:p>
        </w:tc>
        <w:tc>
          <w:tcPr>
            <w:tcW w:w="1605" w:type="dxa"/>
            <w:vAlign w:val="center"/>
          </w:tcPr>
          <w:p w14:paraId="43CD8B86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C-EMR/HIS</w:t>
            </w:r>
          </w:p>
        </w:tc>
      </w:tr>
      <w:tr w14:paraId="6079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32" w:type="dxa"/>
            <w:vAlign w:val="center"/>
          </w:tcPr>
          <w:p w14:paraId="47F8B1B2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label</w:t>
            </w:r>
          </w:p>
        </w:tc>
        <w:tc>
          <w:tcPr>
            <w:tcW w:w="1396" w:type="dxa"/>
            <w:vAlign w:val="center"/>
          </w:tcPr>
          <w:p w14:paraId="20FD2D6B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标注标签</w:t>
            </w:r>
          </w:p>
        </w:tc>
        <w:tc>
          <w:tcPr>
            <w:tcW w:w="1812" w:type="dxa"/>
            <w:vAlign w:val="center"/>
          </w:tcPr>
          <w:p w14:paraId="22E62CC8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categorical</w:t>
            </w:r>
          </w:p>
        </w:tc>
        <w:tc>
          <w:tcPr>
            <w:tcW w:w="2506" w:type="dxa"/>
            <w:vAlign w:val="center"/>
          </w:tcPr>
          <w:p w14:paraId="22DBD20B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0/1 或多分类标签</w:t>
            </w:r>
          </w:p>
        </w:tc>
        <w:tc>
          <w:tcPr>
            <w:tcW w:w="1605" w:type="dxa"/>
            <w:vAlign w:val="center"/>
          </w:tcPr>
          <w:p w14:paraId="5ECB7207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人工标注</w:t>
            </w:r>
          </w:p>
        </w:tc>
      </w:tr>
      <w:tr w14:paraId="583BE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532" w:type="dxa"/>
            <w:vAlign w:val="center"/>
          </w:tcPr>
          <w:p w14:paraId="2A0094A3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token_len</w:t>
            </w:r>
          </w:p>
        </w:tc>
        <w:tc>
          <w:tcPr>
            <w:tcW w:w="1396" w:type="dxa"/>
            <w:vAlign w:val="center"/>
          </w:tcPr>
          <w:p w14:paraId="774FDCDA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分词长度</w:t>
            </w:r>
          </w:p>
        </w:tc>
        <w:tc>
          <w:tcPr>
            <w:tcW w:w="1812" w:type="dxa"/>
            <w:vAlign w:val="center"/>
          </w:tcPr>
          <w:p w14:paraId="2D0DE649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numeric</w:t>
            </w:r>
          </w:p>
        </w:tc>
        <w:tc>
          <w:tcPr>
            <w:tcW w:w="2506" w:type="dxa"/>
            <w:vAlign w:val="center"/>
          </w:tcPr>
          <w:p w14:paraId="42021149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模型输入最大长度</w:t>
            </w:r>
          </w:p>
        </w:tc>
        <w:tc>
          <w:tcPr>
            <w:tcW w:w="1605" w:type="dxa"/>
            <w:vAlign w:val="center"/>
          </w:tcPr>
          <w:p w14:paraId="061A7966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NLP预处理</w:t>
            </w:r>
          </w:p>
        </w:tc>
      </w:tr>
      <w:bookmarkEnd w:id="90"/>
    </w:tbl>
    <w:p w14:paraId="0C4671D3">
      <w:pPr>
        <w:bidi w:val="0"/>
        <w:rPr>
          <w:rFonts w:hint="eastAsia" w:ascii="楷体" w:hAnsi="楷体" w:eastAsia="楷体" w:cs="楷体"/>
          <w:b/>
          <w:bCs/>
        </w:rPr>
      </w:pPr>
      <w:bookmarkStart w:id="91" w:name="模型输出字段"/>
      <w:r>
        <w:rPr>
          <w:rFonts w:hint="eastAsia" w:ascii="楷体" w:hAnsi="楷体" w:eastAsia="楷体" w:cs="楷体"/>
          <w:b/>
          <w:bCs/>
        </w:rPr>
        <w:t>2. 模型输出字段</w:t>
      </w:r>
    </w:p>
    <w:tbl>
      <w:tblPr>
        <w:tblStyle w:val="167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8"/>
        <w:gridCol w:w="1502"/>
        <w:gridCol w:w="1950"/>
        <w:gridCol w:w="1502"/>
        <w:gridCol w:w="2099"/>
      </w:tblGrid>
      <w:tr w14:paraId="7EE5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98" w:type="dxa"/>
            <w:vAlign w:val="center"/>
          </w:tcPr>
          <w:p w14:paraId="4B364EEC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字段名称</w:t>
            </w:r>
          </w:p>
        </w:tc>
        <w:tc>
          <w:tcPr>
            <w:tcW w:w="1502" w:type="dxa"/>
            <w:vAlign w:val="center"/>
          </w:tcPr>
          <w:p w14:paraId="75DC16C0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中文名称</w:t>
            </w:r>
          </w:p>
        </w:tc>
        <w:tc>
          <w:tcPr>
            <w:tcW w:w="1950" w:type="dxa"/>
            <w:vAlign w:val="center"/>
          </w:tcPr>
          <w:p w14:paraId="0B6D90BB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数据类型</w:t>
            </w:r>
          </w:p>
        </w:tc>
        <w:tc>
          <w:tcPr>
            <w:tcW w:w="1502" w:type="dxa"/>
            <w:vAlign w:val="center"/>
          </w:tcPr>
          <w:p w14:paraId="435EC93E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取值范围</w:t>
            </w:r>
          </w:p>
        </w:tc>
        <w:tc>
          <w:tcPr>
            <w:tcW w:w="2099" w:type="dxa"/>
            <w:vAlign w:val="center"/>
          </w:tcPr>
          <w:p w14:paraId="19537BF6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定义</w:t>
            </w:r>
          </w:p>
        </w:tc>
      </w:tr>
      <w:tr w14:paraId="17782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8" w:type="dxa"/>
            <w:vAlign w:val="center"/>
          </w:tcPr>
          <w:p w14:paraId="00D3248B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pred_prob</w:t>
            </w:r>
          </w:p>
        </w:tc>
        <w:tc>
          <w:tcPr>
            <w:tcW w:w="1502" w:type="dxa"/>
            <w:vAlign w:val="center"/>
          </w:tcPr>
          <w:p w14:paraId="5BEB8F6B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预测概率</w:t>
            </w:r>
          </w:p>
        </w:tc>
        <w:tc>
          <w:tcPr>
            <w:tcW w:w="1950" w:type="dxa"/>
            <w:vAlign w:val="center"/>
          </w:tcPr>
          <w:p w14:paraId="4B0036A5">
            <w:pPr>
              <w:pStyle w:val="166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numeric</w:t>
            </w:r>
          </w:p>
        </w:tc>
        <w:tc>
          <w:tcPr>
            <w:tcW w:w="1502" w:type="dxa"/>
            <w:vAlign w:val="center"/>
          </w:tcPr>
          <w:p w14:paraId="27EAA54B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0–1</w:t>
            </w:r>
          </w:p>
        </w:tc>
        <w:tc>
          <w:tcPr>
            <w:tcW w:w="2099" w:type="dxa"/>
            <w:vAlign w:val="center"/>
          </w:tcPr>
          <w:p w14:paraId="51886B6A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模型输出概率</w:t>
            </w:r>
          </w:p>
        </w:tc>
      </w:tr>
      <w:tr w14:paraId="13679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8" w:type="dxa"/>
            <w:vAlign w:val="center"/>
          </w:tcPr>
          <w:p w14:paraId="4675B766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pred_label</w:t>
            </w:r>
          </w:p>
        </w:tc>
        <w:tc>
          <w:tcPr>
            <w:tcW w:w="1502" w:type="dxa"/>
            <w:vAlign w:val="center"/>
          </w:tcPr>
          <w:p w14:paraId="34FB306D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预测标签</w:t>
            </w:r>
          </w:p>
        </w:tc>
        <w:tc>
          <w:tcPr>
            <w:tcW w:w="1950" w:type="dxa"/>
            <w:vAlign w:val="center"/>
          </w:tcPr>
          <w:p w14:paraId="6DB5E863">
            <w:pPr>
              <w:pStyle w:val="166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categorical</w:t>
            </w:r>
          </w:p>
        </w:tc>
        <w:tc>
          <w:tcPr>
            <w:tcW w:w="1502" w:type="dxa"/>
            <w:vAlign w:val="center"/>
          </w:tcPr>
          <w:p w14:paraId="6B7B58E3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0/1</w:t>
            </w:r>
          </w:p>
        </w:tc>
        <w:tc>
          <w:tcPr>
            <w:tcW w:w="2099" w:type="dxa"/>
            <w:vAlign w:val="center"/>
          </w:tcPr>
          <w:p w14:paraId="01D1A084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模型判断结果</w:t>
            </w:r>
          </w:p>
        </w:tc>
      </w:tr>
      <w:tr w14:paraId="4133E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98" w:type="dxa"/>
            <w:vAlign w:val="center"/>
          </w:tcPr>
          <w:p w14:paraId="4359321E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error_flag</w:t>
            </w:r>
          </w:p>
        </w:tc>
        <w:tc>
          <w:tcPr>
            <w:tcW w:w="1502" w:type="dxa"/>
            <w:vAlign w:val="center"/>
          </w:tcPr>
          <w:p w14:paraId="0ADD5C8F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错误标记</w:t>
            </w:r>
          </w:p>
        </w:tc>
        <w:tc>
          <w:tcPr>
            <w:tcW w:w="1950" w:type="dxa"/>
            <w:vAlign w:val="center"/>
          </w:tcPr>
          <w:p w14:paraId="777DE6BA">
            <w:pPr>
              <w:pStyle w:val="166"/>
              <w:keepNext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categorical</w:t>
            </w:r>
          </w:p>
        </w:tc>
        <w:tc>
          <w:tcPr>
            <w:tcW w:w="1502" w:type="dxa"/>
            <w:vAlign w:val="center"/>
          </w:tcPr>
          <w:p w14:paraId="3F51B7B1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0/1</w:t>
            </w:r>
          </w:p>
        </w:tc>
        <w:tc>
          <w:tcPr>
            <w:tcW w:w="2099" w:type="dxa"/>
            <w:vAlign w:val="center"/>
          </w:tcPr>
          <w:p w14:paraId="667C0D8A">
            <w:pPr>
              <w:pStyle w:val="166"/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算法异常监测</w:t>
            </w:r>
          </w:p>
        </w:tc>
      </w:tr>
    </w:tbl>
    <w:p w14:paraId="3AA9BBCB">
      <w:pPr>
        <w:bidi w:val="0"/>
        <w:rPr>
          <w:rFonts w:hint="eastAsia" w:ascii="楷体" w:hAnsi="楷体" w:eastAsia="楷体" w:cs="楷体"/>
          <w:b/>
          <w:bCs/>
        </w:rPr>
      </w:pPr>
    </w:p>
    <w:bookmarkEnd w:id="89"/>
    <w:bookmarkEnd w:id="91"/>
    <w:p w14:paraId="7AE203F6">
      <w:pPr>
        <w:bidi w:val="0"/>
        <w:rPr>
          <w:rFonts w:hint="eastAsia" w:ascii="楷体" w:hAnsi="楷体" w:eastAsia="楷体" w:cs="楷体"/>
          <w:b/>
          <w:bCs/>
        </w:rPr>
      </w:pPr>
      <w:bookmarkStart w:id="92" w:name="五字段命名规范"/>
      <w:r>
        <w:rPr>
          <w:rFonts w:hint="eastAsia" w:ascii="楷体" w:hAnsi="楷体" w:eastAsia="楷体" w:cs="楷体"/>
          <w:b/>
          <w:bCs/>
        </w:rPr>
        <w:t>五、字段命名规范</w:t>
      </w:r>
    </w:p>
    <w:p w14:paraId="7A4F962E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使用小写英文 + 下划线：如 peri_complication</w:t>
      </w:r>
    </w:p>
    <w:p w14:paraId="217A19B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避免中文、空格、特殊字符</w:t>
      </w:r>
    </w:p>
    <w:p w14:paraId="0ED1D5F7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编码字段统一使用整数编码</w:t>
      </w:r>
    </w:p>
    <w:bookmarkEnd w:id="92"/>
    <w:p w14:paraId="4207C4A9">
      <w:pPr>
        <w:bidi w:val="0"/>
        <w:rPr>
          <w:rFonts w:hint="eastAsia" w:ascii="楷体" w:hAnsi="楷体" w:eastAsia="楷体" w:cs="楷体"/>
          <w:b/>
          <w:bCs/>
        </w:rPr>
      </w:pPr>
      <w:bookmarkStart w:id="93" w:name="六常用编码体系"/>
      <w:r>
        <w:rPr>
          <w:rFonts w:hint="eastAsia" w:ascii="楷体" w:hAnsi="楷体" w:eastAsia="楷体" w:cs="楷体"/>
          <w:b/>
          <w:bCs/>
        </w:rPr>
        <w:t>六、常用编码体系</w:t>
      </w:r>
    </w:p>
    <w:p w14:paraId="62F9AE0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ICD-10（诊断）</w:t>
      </w:r>
    </w:p>
    <w:p w14:paraId="70AEF2CA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ICD-9-CM-3（手术）</w:t>
      </w:r>
    </w:p>
    <w:p w14:paraId="18E6919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Clavien-Dindo（并发症）</w:t>
      </w:r>
    </w:p>
    <w:p w14:paraId="54557962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ASA等级</w:t>
      </w:r>
    </w:p>
    <w:p w14:paraId="66C796D4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TNM分期（AJCC）</w:t>
      </w:r>
    </w:p>
    <w:bookmarkEnd w:id="93"/>
    <w:p w14:paraId="20BD79EE">
      <w:pPr>
        <w:bidi w:val="0"/>
        <w:rPr>
          <w:rFonts w:hint="eastAsia" w:ascii="楷体" w:hAnsi="楷体" w:eastAsia="楷体" w:cs="楷体"/>
          <w:b/>
          <w:bCs/>
        </w:rPr>
      </w:pPr>
      <w:bookmarkStart w:id="94" w:name="七质量控制规则dqc-rules"/>
      <w:r>
        <w:rPr>
          <w:rFonts w:hint="eastAsia" w:ascii="楷体" w:hAnsi="楷体" w:eastAsia="楷体" w:cs="楷体"/>
          <w:b/>
          <w:bCs/>
        </w:rPr>
        <w:t>七、质量控制规则（DQC Rules）</w:t>
      </w:r>
    </w:p>
    <w:p w14:paraId="04555B89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字段完整性检查（Completeness）</w:t>
      </w:r>
    </w:p>
    <w:p w14:paraId="6D7F3BC8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合法值检查（Validity）</w:t>
      </w:r>
    </w:p>
    <w:p w14:paraId="1C2D030E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值域范围检查（Range Check）</w:t>
      </w:r>
    </w:p>
    <w:p w14:paraId="65E806B8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冗余字段比对（Consistency）</w:t>
      </w:r>
    </w:p>
    <w:p w14:paraId="217434F7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自动逻辑校验（Logic Check）</w:t>
      </w:r>
    </w:p>
    <w:p w14:paraId="65DF36E5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异常报警（Outlier Detection）</w:t>
      </w:r>
    </w:p>
    <w:bookmarkEnd w:id="94"/>
    <w:p w14:paraId="24A04E21">
      <w:pPr>
        <w:bidi w:val="0"/>
        <w:rPr>
          <w:rFonts w:hint="eastAsia" w:ascii="楷体" w:hAnsi="楷体" w:eastAsia="楷体" w:cs="楷体"/>
          <w:b/>
          <w:bCs/>
        </w:rPr>
      </w:pPr>
      <w:bookmarkStart w:id="95" w:name="八数据字典维护流程"/>
      <w:r>
        <w:rPr>
          <w:rFonts w:hint="eastAsia" w:ascii="楷体" w:hAnsi="楷体" w:eastAsia="楷体" w:cs="楷体"/>
          <w:b/>
          <w:bCs/>
        </w:rPr>
        <w:t>八、数据字典维护流程</w:t>
      </w:r>
    </w:p>
    <w:p w14:paraId="28925E2D">
      <w:pPr>
        <w:pStyle w:val="166"/>
        <w:numPr>
          <w:ilvl w:val="0"/>
          <w:numId w:val="74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初版由课题负责人根据CRF定义编制</w:t>
      </w:r>
    </w:p>
    <w:p w14:paraId="05A6D2B0">
      <w:pPr>
        <w:pStyle w:val="166"/>
        <w:numPr>
          <w:ilvl w:val="0"/>
          <w:numId w:val="74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科研助理复核并提交科研管理办公室</w:t>
      </w:r>
    </w:p>
    <w:p w14:paraId="04BAE38F">
      <w:pPr>
        <w:pStyle w:val="166"/>
        <w:numPr>
          <w:ilvl w:val="0"/>
          <w:numId w:val="74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与统一数据库平台字段结构对齐</w:t>
      </w:r>
    </w:p>
    <w:p w14:paraId="50AA9D05">
      <w:pPr>
        <w:pStyle w:val="166"/>
        <w:numPr>
          <w:ilvl w:val="0"/>
          <w:numId w:val="74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版本号管理（v1.0, v1.1, v2.0）</w:t>
      </w:r>
    </w:p>
    <w:p w14:paraId="1038847B">
      <w:pPr>
        <w:pStyle w:val="166"/>
        <w:numPr>
          <w:ilvl w:val="0"/>
          <w:numId w:val="74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每次更新必须保留历史版本</w:t>
      </w:r>
    </w:p>
    <w:bookmarkEnd w:id="95"/>
    <w:p w14:paraId="00660444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附件8 </w:t>
      </w:r>
      <w:r>
        <w:rPr>
          <w:rFonts w:hint="eastAsia" w:ascii="黑体" w:hAnsi="黑体" w:eastAsia="黑体" w:cs="黑体"/>
        </w:rPr>
        <w:t>Manuscript Skeleton 模板（结构化摘要+结果Table Shell）</w:t>
      </w:r>
    </w:p>
    <w:p w14:paraId="4CB83993">
      <w:pPr>
        <w:pStyle w:val="165"/>
        <w:ind w:firstLine="420" w:firstLineChars="20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以下模板适用于 RWS、工程器械、AI 三类论文，可在不同研究类型中直接套用，是科研生产线（</w:t>
      </w:r>
      <w:r>
        <w:rPr>
          <w:rFonts w:hint="eastAsia" w:ascii="楷体" w:hAnsi="楷体" w:eastAsia="楷体" w:cs="楷体"/>
          <w:sz w:val="21"/>
          <w:szCs w:val="21"/>
          <w:lang w:eastAsia="zh-CN"/>
        </w:rPr>
        <w:t>SRWS</w:t>
      </w:r>
      <w:r>
        <w:rPr>
          <w:rFonts w:hint="eastAsia" w:ascii="楷体" w:hAnsi="楷体" w:eastAsia="楷体" w:cs="楷体"/>
          <w:sz w:val="21"/>
          <w:szCs w:val="21"/>
        </w:rPr>
        <w:t>）体系中“论文前置化（Protocol-driven Manuscript Architecture）”的核心工具。</w:t>
      </w:r>
    </w:p>
    <w:p w14:paraId="54B1F945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一、结构化摘要（Structured Abstract）</w:t>
      </w:r>
    </w:p>
    <w:p w14:paraId="070A50FC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（字数一般 250–350 字，可按目标期刊要求调整）</w:t>
      </w:r>
    </w:p>
    <w:p w14:paraId="44D00BF7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1. Background（背景）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病种负担、现有问题、临床/工程/AI 痛点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本研究的科学或工程意义</w:t>
      </w:r>
    </w:p>
    <w:p w14:paraId="6F80F442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2. Objective（目的）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本研究拟解决的关键临床/技术问题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明确且可量化的主要研究目的</w:t>
      </w:r>
    </w:p>
    <w:p w14:paraId="55DAFE41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3. Methods（方法）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研究设计（RWS / RCT / 工程验证 / AI 模型）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数据来源与样本量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主要终点、统计方法、偏倚控制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工程研究需列出：验证流程、评价指标、实验环境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AI研究需列出：模型框架、训练/验证集、评价指标</w:t>
      </w:r>
    </w:p>
    <w:p w14:paraId="6E17F607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4. Results（结果）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核心发现（突出统计显著性、临床/工程意义）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主要安全性/功能性指标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AI模型需给出：性能指标、ROC、PRC</w:t>
      </w:r>
    </w:p>
    <w:p w14:paraId="38C63B86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5. Conclusions（结论）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本研究对临床/工程/AI 的价值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推广前景与下一步研究方向</w:t>
      </w:r>
    </w:p>
    <w:p w14:paraId="49EA9435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6. Keywords（关键词，3–6个）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采用 MeSH 或工程/AI 标准术语</w:t>
      </w:r>
    </w:p>
    <w:p w14:paraId="65EF8466">
      <w:pPr>
        <w:bidi w:val="0"/>
        <w:rPr>
          <w:rFonts w:hint="eastAsia" w:ascii="楷体" w:hAnsi="楷体" w:eastAsia="楷体" w:cs="楷体"/>
          <w:b/>
          <w:bCs/>
        </w:rPr>
      </w:pPr>
      <w:bookmarkStart w:id="96" w:name="研究方法methods"/>
      <w:r>
        <w:rPr>
          <w:rFonts w:hint="eastAsia" w:ascii="楷体" w:hAnsi="楷体" w:eastAsia="楷体" w:cs="楷体"/>
          <w:b/>
          <w:bCs/>
          <w:lang w:val="en-US" w:eastAsia="zh-CN"/>
        </w:rPr>
        <w:t>二</w:t>
      </w:r>
      <w:r>
        <w:rPr>
          <w:rFonts w:hint="eastAsia" w:ascii="楷体" w:hAnsi="楷体" w:eastAsia="楷体" w:cs="楷体"/>
          <w:b/>
          <w:bCs/>
        </w:rPr>
        <w:t>. 研究方法（Methods）</w:t>
      </w:r>
    </w:p>
    <w:p w14:paraId="45C03298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2.1 研究设计</w:t>
      </w:r>
    </w:p>
    <w:p w14:paraId="1343A23C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• 真实世界研究（RWS）/工程验证实验/AI模型开发与验证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研究中心、研究时间</w:t>
      </w:r>
    </w:p>
    <w:p w14:paraId="0B1EDEBC">
      <w:pPr>
        <w:bidi w:val="0"/>
        <w:rPr>
          <w:rFonts w:hint="eastAsia" w:ascii="楷体" w:hAnsi="楷体" w:eastAsia="楷体" w:cs="楷体"/>
          <w:b/>
          <w:bCs/>
        </w:rPr>
      </w:pPr>
      <w:bookmarkStart w:id="97" w:name="研究对象或工程系统"/>
      <w:r>
        <w:rPr>
          <w:rFonts w:hint="eastAsia" w:ascii="楷体" w:hAnsi="楷体" w:eastAsia="楷体" w:cs="楷体"/>
          <w:b/>
          <w:bCs/>
        </w:rPr>
        <w:t>2.2 研究对象（或工程系统）</w:t>
      </w:r>
    </w:p>
    <w:p w14:paraId="42630633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• 纳入标准与排除标准（RWS/RCT）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工程装置结构与模块（Engineering）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数据来源（AI）</w:t>
      </w:r>
    </w:p>
    <w:bookmarkEnd w:id="97"/>
    <w:p w14:paraId="27BE9535">
      <w:pPr>
        <w:bidi w:val="0"/>
        <w:rPr>
          <w:rFonts w:hint="eastAsia" w:ascii="楷体" w:hAnsi="楷体" w:eastAsia="楷体" w:cs="楷体"/>
          <w:b/>
          <w:bCs/>
        </w:rPr>
      </w:pPr>
      <w:bookmarkStart w:id="98" w:name="终点endpoints"/>
      <w:r>
        <w:rPr>
          <w:rFonts w:hint="eastAsia" w:ascii="楷体" w:hAnsi="楷体" w:eastAsia="楷体" w:cs="楷体"/>
          <w:b/>
          <w:bCs/>
        </w:rPr>
        <w:t>2.3 终点（Endpoints）</w:t>
      </w:r>
    </w:p>
    <w:p w14:paraId="20D75A8A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• 主要终点（Primary Endpoint）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次要终点（Secondary Endpoints）</w:t>
      </w:r>
    </w:p>
    <w:bookmarkEnd w:id="98"/>
    <w:p w14:paraId="6DF2FC51">
      <w:pPr>
        <w:bidi w:val="0"/>
        <w:rPr>
          <w:rFonts w:hint="eastAsia" w:ascii="楷体" w:hAnsi="楷体" w:eastAsia="楷体" w:cs="楷体"/>
          <w:b/>
          <w:bCs/>
        </w:rPr>
      </w:pPr>
      <w:bookmarkStart w:id="99" w:name="数据采集与变量定义"/>
      <w:r>
        <w:rPr>
          <w:rFonts w:hint="eastAsia" w:ascii="楷体" w:hAnsi="楷体" w:eastAsia="楷体" w:cs="楷体"/>
          <w:b/>
          <w:bCs/>
        </w:rPr>
        <w:t>2.4 数据采集与变量定义</w:t>
      </w:r>
    </w:p>
    <w:p w14:paraId="1DFD9C89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• 对应 CRF 与数据字典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工程：功能性指标、机械参数、误差指标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AI：输入特征、标注规范</w:t>
      </w:r>
    </w:p>
    <w:bookmarkEnd w:id="99"/>
    <w:p w14:paraId="67E2AC3F">
      <w:pPr>
        <w:bidi w:val="0"/>
        <w:rPr>
          <w:rFonts w:hint="eastAsia" w:ascii="楷体" w:hAnsi="楷体" w:eastAsia="楷体" w:cs="楷体"/>
          <w:b/>
          <w:bCs/>
        </w:rPr>
      </w:pPr>
      <w:bookmarkStart w:id="100" w:name="统计分析对应-sap"/>
      <w:r>
        <w:rPr>
          <w:rFonts w:hint="eastAsia" w:ascii="楷体" w:hAnsi="楷体" w:eastAsia="楷体" w:cs="楷体"/>
          <w:b/>
          <w:bCs/>
        </w:rPr>
        <w:t>2.5 统计分析（对应 SAP）</w:t>
      </w:r>
    </w:p>
    <w:p w14:paraId="5313CB88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• 样本量计算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描述性统计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推断统计（模型、回归、多变量分析）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工程：误差分析、鲁棒性验证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AI：AUC、F1、精确率、召回率等</w:t>
      </w:r>
    </w:p>
    <w:bookmarkEnd w:id="100"/>
    <w:p w14:paraId="33F28A47">
      <w:pPr>
        <w:bidi w:val="0"/>
        <w:rPr>
          <w:rFonts w:hint="eastAsia" w:ascii="楷体" w:hAnsi="楷体" w:eastAsia="楷体" w:cs="楷体"/>
          <w:b/>
          <w:bCs/>
        </w:rPr>
      </w:pPr>
      <w:bookmarkStart w:id="101" w:name="偏倚控制"/>
      <w:r>
        <w:rPr>
          <w:rFonts w:hint="eastAsia" w:ascii="楷体" w:hAnsi="楷体" w:eastAsia="楷体" w:cs="楷体"/>
          <w:b/>
          <w:bCs/>
        </w:rPr>
        <w:t>2.6 偏倚控制</w:t>
      </w:r>
    </w:p>
    <w:p w14:paraId="2EDBC3B2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• 匹配、倾向评分、敏感性分析（RWS）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工程实验盲法、重复性验证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AI：过拟合控制、交叉验证</w:t>
      </w:r>
    </w:p>
    <w:bookmarkEnd w:id="101"/>
    <w:p w14:paraId="1CD63A7E">
      <w:pPr>
        <w:bidi w:val="0"/>
        <w:rPr>
          <w:rFonts w:hint="eastAsia" w:ascii="楷体" w:hAnsi="楷体" w:eastAsia="楷体" w:cs="楷体"/>
          <w:b/>
          <w:bCs/>
        </w:rPr>
      </w:pPr>
      <w:bookmarkStart w:id="102" w:name="伦理与注册如适用"/>
      <w:r>
        <w:rPr>
          <w:rFonts w:hint="eastAsia" w:ascii="楷体" w:hAnsi="楷体" w:eastAsia="楷体" w:cs="楷体"/>
          <w:b/>
          <w:bCs/>
        </w:rPr>
        <w:t>2.7 伦理与注册（如适用）</w:t>
      </w:r>
    </w:p>
    <w:p w14:paraId="1568A627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• 医院伦理批准号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是否进行临床试验注册</w:t>
      </w:r>
    </w:p>
    <w:bookmarkEnd w:id="96"/>
    <w:bookmarkEnd w:id="102"/>
    <w:p w14:paraId="4E64A642">
      <w:pPr>
        <w:bidi w:val="0"/>
        <w:rPr>
          <w:rFonts w:hint="eastAsia" w:ascii="楷体" w:hAnsi="楷体" w:eastAsia="楷体" w:cs="楷体"/>
          <w:b/>
          <w:bCs/>
        </w:rPr>
      </w:pPr>
      <w:bookmarkStart w:id="103" w:name="四讨论discussion"/>
      <w:r>
        <w:rPr>
          <w:rFonts w:hint="eastAsia" w:ascii="楷体" w:hAnsi="楷体" w:eastAsia="楷体" w:cs="楷体"/>
          <w:b/>
          <w:bCs/>
        </w:rPr>
        <w:t>三、结果（Results）</w:t>
      </w:r>
    </w:p>
    <w:p w14:paraId="4AC907F6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（以下 Table Shells 必填，不允许空表）</w:t>
      </w:r>
    </w:p>
    <w:p w14:paraId="41EB2BD7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3.1 基线特征 Table Shell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45"/>
        <w:gridCol w:w="2342"/>
        <w:gridCol w:w="2342"/>
        <w:gridCol w:w="1118"/>
      </w:tblGrid>
      <w:tr w14:paraId="0A9EC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0" w:hRule="atLeast"/>
          <w:tblCellSpacing w:w="15" w:type="dxa"/>
          <w:jc w:val="center"/>
        </w:trPr>
        <w:tc>
          <w:tcPr>
            <w:tcW w:w="2900" w:type="dxa"/>
            <w:shd w:val="clear" w:color="auto" w:fill="auto"/>
            <w:vAlign w:val="center"/>
          </w:tcPr>
          <w:p w14:paraId="13495E0A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变量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23C60602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组1（n=）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425AC97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组2（n=）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21C585D8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 值</w:t>
            </w:r>
          </w:p>
        </w:tc>
      </w:tr>
      <w:tr w14:paraId="4A9790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900" w:type="dxa"/>
            <w:shd w:val="clear" w:color="auto" w:fill="auto"/>
            <w:vAlign w:val="center"/>
          </w:tcPr>
          <w:p w14:paraId="68EF05B0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年龄（岁）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55B71E1F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mean±SD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761BD4F2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mean±SD</w:t>
            </w:r>
          </w:p>
        </w:tc>
        <w:tc>
          <w:tcPr>
            <w:tcW w:w="1073" w:type="dxa"/>
            <w:shd w:val="clear" w:color="auto" w:fill="auto"/>
            <w:vAlign w:val="center"/>
          </w:tcPr>
          <w:p w14:paraId="302E1692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C052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900" w:type="dxa"/>
            <w:shd w:val="clear" w:color="auto" w:fill="auto"/>
            <w:vAlign w:val="center"/>
          </w:tcPr>
          <w:p w14:paraId="18DBDA78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性别（男 %）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593D304A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1004D895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6A2AAC38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C6DC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900" w:type="dxa"/>
            <w:shd w:val="clear" w:color="auto" w:fill="auto"/>
            <w:vAlign w:val="center"/>
          </w:tcPr>
          <w:p w14:paraId="58530250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BMI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23F3835C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5E0534AE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15A92188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8A69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900" w:type="dxa"/>
            <w:shd w:val="clear" w:color="auto" w:fill="auto"/>
            <w:vAlign w:val="center"/>
          </w:tcPr>
          <w:p w14:paraId="4DF13A25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主要诊断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585FBE4F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7F925886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56B072E1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49D7E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900" w:type="dxa"/>
            <w:shd w:val="clear" w:color="auto" w:fill="auto"/>
            <w:vAlign w:val="center"/>
          </w:tcPr>
          <w:p w14:paraId="7FA1700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手术方式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0FA50920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6CC3CF0A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5A49163D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152C4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900" w:type="dxa"/>
            <w:shd w:val="clear" w:color="auto" w:fill="auto"/>
            <w:vAlign w:val="center"/>
          </w:tcPr>
          <w:p w14:paraId="0161B69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合并症</w:t>
            </w:r>
          </w:p>
        </w:tc>
        <w:tc>
          <w:tcPr>
            <w:tcW w:w="2312" w:type="dxa"/>
            <w:shd w:val="clear" w:color="auto" w:fill="auto"/>
            <w:vAlign w:val="center"/>
          </w:tcPr>
          <w:p w14:paraId="64A5B9DE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312" w:type="dxa"/>
            <w:shd w:val="clear" w:color="auto" w:fill="auto"/>
            <w:vAlign w:val="center"/>
          </w:tcPr>
          <w:p w14:paraId="4D27D9B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14:paraId="4071BFA1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4453BAD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3.2 主要终点 Table Shell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057"/>
        <w:gridCol w:w="966"/>
        <w:gridCol w:w="966"/>
        <w:gridCol w:w="1759"/>
        <w:gridCol w:w="999"/>
      </w:tblGrid>
      <w:tr w14:paraId="733C5A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4012" w:type="dxa"/>
            <w:shd w:val="clear" w:color="auto" w:fill="auto"/>
            <w:vAlign w:val="center"/>
          </w:tcPr>
          <w:p w14:paraId="403D32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主要终点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52E0C6F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组1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702D28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组2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3B220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效应量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15BD8B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P值</w:t>
            </w:r>
          </w:p>
        </w:tc>
      </w:tr>
      <w:tr w14:paraId="49A47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12" w:type="dxa"/>
            <w:shd w:val="clear" w:color="auto" w:fill="auto"/>
            <w:vAlign w:val="center"/>
          </w:tcPr>
          <w:p w14:paraId="26DA6A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并发症发生率（%）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6F8673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34B38F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0D095E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RR / OR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35C4CC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4412A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12" w:type="dxa"/>
            <w:shd w:val="clear" w:color="auto" w:fill="auto"/>
            <w:vAlign w:val="center"/>
          </w:tcPr>
          <w:p w14:paraId="3EA635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手术时间（min）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018645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44492E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4241EB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MD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70CB9A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0DE6D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12" w:type="dxa"/>
            <w:shd w:val="clear" w:color="auto" w:fill="auto"/>
            <w:vAlign w:val="center"/>
          </w:tcPr>
          <w:p w14:paraId="72C836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住院天数（d）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26EE90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936" w:type="dxa"/>
            <w:shd w:val="clear" w:color="auto" w:fill="auto"/>
            <w:vAlign w:val="center"/>
          </w:tcPr>
          <w:p w14:paraId="2ECEFDF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729" w:type="dxa"/>
            <w:shd w:val="clear" w:color="auto" w:fill="auto"/>
            <w:vAlign w:val="center"/>
          </w:tcPr>
          <w:p w14:paraId="6B7474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MD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775829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5505020A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3.3 次要终点 Table Shell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66"/>
        <w:gridCol w:w="1708"/>
        <w:gridCol w:w="1708"/>
        <w:gridCol w:w="1765"/>
      </w:tblGrid>
      <w:tr w14:paraId="03E2F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521" w:type="dxa"/>
            <w:shd w:val="clear" w:color="auto" w:fill="auto"/>
            <w:vAlign w:val="center"/>
          </w:tcPr>
          <w:p w14:paraId="2AFB8A3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次要终点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EAC50D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组1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32F5E6C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组2</w:t>
            </w:r>
          </w:p>
        </w:tc>
        <w:tc>
          <w:tcPr>
            <w:tcW w:w="1720" w:type="dxa"/>
            <w:shd w:val="clear" w:color="auto" w:fill="auto"/>
            <w:vAlign w:val="center"/>
          </w:tcPr>
          <w:p w14:paraId="1486AFD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P值</w:t>
            </w:r>
          </w:p>
        </w:tc>
      </w:tr>
      <w:tr w14:paraId="6D8C4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521" w:type="dxa"/>
            <w:shd w:val="clear" w:color="auto" w:fill="auto"/>
            <w:vAlign w:val="center"/>
          </w:tcPr>
          <w:p w14:paraId="2A9508B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QOL评分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795BDB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519E3B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620B1C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330E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521" w:type="dxa"/>
            <w:shd w:val="clear" w:color="auto" w:fill="auto"/>
            <w:vAlign w:val="center"/>
          </w:tcPr>
          <w:p w14:paraId="77EDD5A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NRS疼痛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2ADA0F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78" w:type="dxa"/>
            <w:shd w:val="clear" w:color="auto" w:fill="auto"/>
            <w:vAlign w:val="center"/>
          </w:tcPr>
          <w:p w14:paraId="705B529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720" w:type="dxa"/>
            <w:shd w:val="clear" w:color="auto" w:fill="auto"/>
            <w:vAlign w:val="center"/>
          </w:tcPr>
          <w:p w14:paraId="68BC0F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315AC6AB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3.4 工程研究 Table Shell（如适用）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912"/>
        <w:gridCol w:w="1250"/>
        <w:gridCol w:w="2299"/>
        <w:gridCol w:w="1286"/>
      </w:tblGrid>
      <w:tr w14:paraId="6D84A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867" w:type="dxa"/>
            <w:shd w:val="clear" w:color="auto" w:fill="auto"/>
            <w:vAlign w:val="center"/>
          </w:tcPr>
          <w:p w14:paraId="00CFDD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工程指标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EC9B4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08293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合格阈值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70D88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0CFC6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867" w:type="dxa"/>
            <w:shd w:val="clear" w:color="auto" w:fill="auto"/>
            <w:vAlign w:val="center"/>
          </w:tcPr>
          <w:p w14:paraId="4ED60D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轨迹误差（mm）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DF01B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5B7E98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4274F8D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1438D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867" w:type="dxa"/>
            <w:shd w:val="clear" w:color="auto" w:fill="auto"/>
            <w:vAlign w:val="center"/>
          </w:tcPr>
          <w:p w14:paraId="0EAE1F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控制延迟（ms）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DFF6BB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47154C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04079F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3C626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867" w:type="dxa"/>
            <w:shd w:val="clear" w:color="auto" w:fill="auto"/>
            <w:vAlign w:val="center"/>
          </w:tcPr>
          <w:p w14:paraId="4ED616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稳定性指数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4075E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4CC358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13A39B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38CF3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867" w:type="dxa"/>
            <w:shd w:val="clear" w:color="auto" w:fill="auto"/>
            <w:vAlign w:val="center"/>
          </w:tcPr>
          <w:p w14:paraId="4F5160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机械负载（N）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3446A2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269" w:type="dxa"/>
            <w:shd w:val="clear" w:color="auto" w:fill="auto"/>
            <w:vAlign w:val="center"/>
          </w:tcPr>
          <w:p w14:paraId="767C9B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0789D1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43E8B6D2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3.5 AI研究 Table Shell（如适用）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5852"/>
        <w:gridCol w:w="2895"/>
      </w:tblGrid>
      <w:tr w14:paraId="2E1CA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634BDB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288CB9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数值</w:t>
            </w:r>
          </w:p>
        </w:tc>
      </w:tr>
      <w:tr w14:paraId="37F06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192264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AUC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66C71AB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37A8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3108E8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Accuracy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2496714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A1DD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418646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Precision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5A9AAC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531727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14D50E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Recall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5F1E4AD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39263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5807" w:type="dxa"/>
            <w:shd w:val="clear" w:color="auto" w:fill="auto"/>
            <w:vAlign w:val="center"/>
          </w:tcPr>
          <w:p w14:paraId="339622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F1-score</w:t>
            </w:r>
          </w:p>
        </w:tc>
        <w:tc>
          <w:tcPr>
            <w:tcW w:w="2850" w:type="dxa"/>
            <w:shd w:val="clear" w:color="auto" w:fill="auto"/>
            <w:vAlign w:val="center"/>
          </w:tcPr>
          <w:p w14:paraId="25F96D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09BD80A1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ROC 曲线、PR 曲线占位符：</w:t>
      </w:r>
    </w:p>
    <w:p w14:paraId="3DE00524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（此处插入图1：ROC Curve）</w:t>
      </w:r>
    </w:p>
    <w:p w14:paraId="788EB033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（此处插入图2：PR Curve）</w:t>
      </w:r>
    </w:p>
    <w:p w14:paraId="26E0D8F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四、讨论（Discussion）</w:t>
      </w:r>
    </w:p>
    <w:p w14:paraId="34F6E2F1">
      <w:pPr>
        <w:pStyle w:val="165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4.1 主要发现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4.2 与现有研究比较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4.3 本研究的临床/工程/AI 意义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4.4 局限性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4.5 对未来研究的启示</w:t>
      </w:r>
    </w:p>
    <w:bookmarkEnd w:id="103"/>
    <w:p w14:paraId="6C72C8D6">
      <w:pPr>
        <w:bidi w:val="0"/>
        <w:rPr>
          <w:rFonts w:hint="eastAsia" w:ascii="楷体" w:hAnsi="楷体" w:eastAsia="楷体" w:cs="楷体"/>
        </w:rPr>
      </w:pPr>
      <w:bookmarkStart w:id="104" w:name="七参考文献references"/>
      <w:r>
        <w:rPr>
          <w:rFonts w:hint="eastAsia" w:ascii="楷体" w:hAnsi="楷体" w:eastAsia="楷体" w:cs="楷体"/>
        </w:rPr>
        <w:t>五、结论（Conclusion）</w:t>
      </w:r>
    </w:p>
    <w:p w14:paraId="48957DEB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• 明确、简短、可落地的结论</w:t>
      </w:r>
    </w:p>
    <w:p w14:paraId="2AFC37E6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六、致谢 / 资金支持（Funding）</w:t>
      </w:r>
    </w:p>
    <w:p w14:paraId="425C3A41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• 填写项目来源</w:t>
      </w:r>
    </w:p>
    <w:p w14:paraId="5FDCBD16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七、参考文献（References）</w:t>
      </w:r>
    </w:p>
    <w:p w14:paraId="2F9AB55A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• 采用 Vancouver 格式</w:t>
      </w:r>
    </w:p>
    <w:bookmarkEnd w:id="104"/>
    <w:p w14:paraId="13A3D622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附件9 </w:t>
      </w:r>
      <w:r>
        <w:rPr>
          <w:rFonts w:hint="eastAsia" w:ascii="黑体" w:hAnsi="黑体" w:eastAsia="黑体" w:cs="黑体"/>
        </w:rPr>
        <w:t>Early-stage IP Mapping 模板（含 Patent Landscaping 表格）</w:t>
      </w:r>
    </w:p>
    <w:p w14:paraId="60903F6D">
      <w:pPr>
        <w:pStyle w:val="7"/>
        <w:rPr>
          <w:rFonts w:hint="eastAsia"/>
        </w:rPr>
      </w:pPr>
    </w:p>
    <w:p w14:paraId="491361EB">
      <w:pPr>
        <w:pStyle w:val="165"/>
        <w:ind w:firstLine="420" w:firstLineChars="20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本模板用于所有医工交叉项目（器械、系统平台、AI算法、数据库系统等）在立项阶段即开展前置化专利布局，确保“专利早期卡位—技术路线对标—结构创新”全流程规范。</w:t>
      </w:r>
    </w:p>
    <w:p w14:paraId="297D83F4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一、Early-stage IP Mapping 总体框架</w:t>
      </w:r>
    </w:p>
    <w:p w14:paraId="498F139B">
      <w:pPr>
        <w:pStyle w:val="30"/>
        <w:keepNext w:val="0"/>
        <w:keepLines w:val="0"/>
        <w:widowControl/>
        <w:suppressLineNumbers w:val="0"/>
        <w:ind w:firstLine="420" w:firstLineChars="20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Early-stage IP Mapping 涉及以下六个核心模块：</w:t>
      </w:r>
    </w:p>
    <w:p w14:paraId="44334729">
      <w:pPr>
        <w:pStyle w:val="30"/>
        <w:keepNext w:val="0"/>
        <w:keepLines w:val="0"/>
        <w:widowControl/>
        <w:numPr>
          <w:ilvl w:val="0"/>
          <w:numId w:val="75"/>
        </w:numPr>
        <w:suppressLineNumbers w:val="0"/>
        <w:ind w:left="720" w:leftChars="0" w:hanging="36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技术拆解（Technology Decomposition）</w:t>
      </w:r>
      <w:r>
        <w:rPr>
          <w:rFonts w:hint="eastAsia" w:ascii="楷体" w:hAnsi="楷体" w:eastAsia="楷体" w:cs="楷体"/>
          <w:sz w:val="21"/>
          <w:szCs w:val="21"/>
        </w:rPr>
        <w:t>：将核心技术拆分为可专利化模块。</w:t>
      </w:r>
    </w:p>
    <w:p w14:paraId="443A0C64">
      <w:pPr>
        <w:pStyle w:val="30"/>
        <w:keepNext w:val="0"/>
        <w:keepLines w:val="0"/>
        <w:widowControl/>
        <w:numPr>
          <w:ilvl w:val="0"/>
          <w:numId w:val="75"/>
        </w:numPr>
        <w:suppressLineNumbers w:val="0"/>
        <w:ind w:left="720" w:leftChars="0" w:hanging="36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问题-发明点矩阵（Problem–Invention Matrix）</w:t>
      </w:r>
      <w:r>
        <w:rPr>
          <w:rFonts w:hint="eastAsia" w:ascii="楷体" w:hAnsi="楷体" w:eastAsia="楷体" w:cs="楷体"/>
          <w:sz w:val="21"/>
          <w:szCs w:val="21"/>
        </w:rPr>
        <w:t>：基于痛点提取可专利改进点。</w:t>
      </w:r>
    </w:p>
    <w:p w14:paraId="18D3BBC8">
      <w:pPr>
        <w:pStyle w:val="30"/>
        <w:keepNext w:val="0"/>
        <w:keepLines w:val="0"/>
        <w:widowControl/>
        <w:numPr>
          <w:ilvl w:val="0"/>
          <w:numId w:val="75"/>
        </w:numPr>
        <w:suppressLineNumbers w:val="0"/>
        <w:ind w:left="720" w:leftChars="0" w:hanging="36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现有专利检索与竞争格局分析（Patent Landscaping）</w:t>
      </w:r>
      <w:r>
        <w:rPr>
          <w:rFonts w:hint="eastAsia" w:ascii="楷体" w:hAnsi="楷体" w:eastAsia="楷体" w:cs="楷体"/>
          <w:sz w:val="21"/>
          <w:szCs w:val="21"/>
        </w:rPr>
        <w:t>。</w:t>
      </w:r>
    </w:p>
    <w:p w14:paraId="7CD6F8A3">
      <w:pPr>
        <w:pStyle w:val="30"/>
        <w:keepNext w:val="0"/>
        <w:keepLines w:val="0"/>
        <w:widowControl/>
        <w:numPr>
          <w:ilvl w:val="0"/>
          <w:numId w:val="75"/>
        </w:numPr>
        <w:suppressLineNumbers w:val="0"/>
        <w:ind w:left="720" w:leftChars="0" w:hanging="36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专利空白区识别（White Space Identification）</w:t>
      </w:r>
      <w:r>
        <w:rPr>
          <w:rFonts w:hint="eastAsia" w:ascii="楷体" w:hAnsi="楷体" w:eastAsia="楷体" w:cs="楷体"/>
          <w:sz w:val="21"/>
          <w:szCs w:val="21"/>
        </w:rPr>
        <w:t>。</w:t>
      </w:r>
    </w:p>
    <w:p w14:paraId="104B6C5C">
      <w:pPr>
        <w:pStyle w:val="30"/>
        <w:keepNext w:val="0"/>
        <w:keepLines w:val="0"/>
        <w:widowControl/>
        <w:numPr>
          <w:ilvl w:val="0"/>
          <w:numId w:val="75"/>
        </w:numPr>
        <w:suppressLineNumbers w:val="0"/>
        <w:ind w:left="720" w:leftChars="0" w:hanging="36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早期专利组合设计（Early-stage Patent Portfolio Design）</w:t>
      </w:r>
      <w:r>
        <w:rPr>
          <w:rFonts w:hint="eastAsia" w:ascii="楷体" w:hAnsi="楷体" w:eastAsia="楷体" w:cs="楷体"/>
          <w:sz w:val="21"/>
          <w:szCs w:val="21"/>
        </w:rPr>
        <w:t>。</w:t>
      </w:r>
    </w:p>
    <w:p w14:paraId="2FB65AE6">
      <w:pPr>
        <w:pStyle w:val="30"/>
        <w:keepNext w:val="0"/>
        <w:keepLines w:val="0"/>
        <w:widowControl/>
        <w:numPr>
          <w:ilvl w:val="0"/>
          <w:numId w:val="75"/>
        </w:numPr>
        <w:suppressLineNumbers w:val="0"/>
        <w:ind w:left="720" w:leftChars="0" w:hanging="36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项目-专利路线图（Project–IP Roadmap）</w:t>
      </w:r>
      <w:r>
        <w:rPr>
          <w:rFonts w:hint="eastAsia" w:ascii="楷体" w:hAnsi="楷体" w:eastAsia="楷体" w:cs="楷体"/>
          <w:sz w:val="21"/>
          <w:szCs w:val="21"/>
        </w:rPr>
        <w:t>。</w:t>
      </w:r>
    </w:p>
    <w:p w14:paraId="624CB7F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二、模块1：技术拆解模板（Technology Decomposition Sheet）</w:t>
      </w:r>
    </w:p>
    <w:tbl>
      <w:tblPr>
        <w:tblStyle w:val="33"/>
        <w:tblW w:w="8856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67"/>
        <w:gridCol w:w="1775"/>
        <w:gridCol w:w="3063"/>
        <w:gridCol w:w="1646"/>
        <w:gridCol w:w="705"/>
      </w:tblGrid>
      <w:tr w14:paraId="521A9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3705027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一级技术模块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100A700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二级技术组件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3496C9D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关键技术要素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F91EB5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可否专利化</w:t>
            </w:r>
          </w:p>
          <w:p w14:paraId="04AEF79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（Y/N）</w:t>
            </w:r>
          </w:p>
        </w:tc>
        <w:tc>
          <w:tcPr>
            <w:tcW w:w="660" w:type="dxa"/>
            <w:shd w:val="clear" w:color="auto" w:fill="auto"/>
            <w:vAlign w:val="center"/>
          </w:tcPr>
          <w:p w14:paraId="7B52D7B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说明</w:t>
            </w:r>
          </w:p>
        </w:tc>
      </w:tr>
      <w:tr w14:paraId="7E6A6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115D049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机械本体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71A5BE0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机械臂/执行端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1B4FEC4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自由度、扭矩限制、结构优化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C411B0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1051909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70FCF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0A172E8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控制系统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0048091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控制算法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532671D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阻抗/导纳控制、直控策略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018873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1C2811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4DE19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218A6D5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感知系统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081EE19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图像 / 力反馈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441CA53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多模态融合、微创术中导航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6FA3875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26DE177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4CEBD2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0EC1027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用户交互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657425C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手控器 / UI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345F39D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直观交互、场景化控制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3E848CF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7A4A38F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7CFB2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28E8ECE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AI 模型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7C1D287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NLP/视觉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57E04BE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训练框架、推理加速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0B1823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0A39B6E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56DE5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622" w:type="dxa"/>
            <w:shd w:val="clear" w:color="auto" w:fill="auto"/>
            <w:vAlign w:val="center"/>
          </w:tcPr>
          <w:p w14:paraId="0DC170A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数据库</w:t>
            </w:r>
          </w:p>
        </w:tc>
        <w:tc>
          <w:tcPr>
            <w:tcW w:w="1745" w:type="dxa"/>
            <w:shd w:val="clear" w:color="auto" w:fill="auto"/>
            <w:vAlign w:val="center"/>
          </w:tcPr>
          <w:p w14:paraId="4594E52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数据结构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7D739D2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字段体系、索引结构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1E0E75F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660" w:type="dxa"/>
            <w:shd w:val="clear" w:color="auto" w:fill="auto"/>
            <w:vAlign w:val="center"/>
          </w:tcPr>
          <w:p w14:paraId="6E57576F">
            <w:pPr>
              <w:keepNext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30D39B95">
      <w:pPr>
        <w:pStyle w:val="7"/>
        <w:rPr>
          <w:rFonts w:hint="eastAsia" w:ascii="楷体" w:hAnsi="楷体" w:eastAsia="楷体" w:cs="楷体"/>
        </w:rPr>
      </w:pPr>
    </w:p>
    <w:p w14:paraId="760FC1D6">
      <w:pPr>
        <w:bidi w:val="0"/>
        <w:rPr>
          <w:rFonts w:hint="eastAsia" w:ascii="楷体" w:hAnsi="楷体" w:eastAsia="楷体" w:cs="楷体"/>
          <w:szCs w:val="21"/>
        </w:rPr>
      </w:pPr>
      <w:bookmarkStart w:id="105" w:name="三模块2问题-发明点矩阵probleminvention-matrix"/>
      <w:r>
        <w:rPr>
          <w:rFonts w:hint="eastAsia" w:ascii="楷体" w:hAnsi="楷体" w:eastAsia="楷体" w:cs="楷体"/>
          <w:b/>
          <w:bCs/>
        </w:rPr>
        <w:t>三、模块2：问题-发明点矩阵（Problem–Invention Matrix）</w:t>
      </w:r>
    </w:p>
    <w:tbl>
      <w:tblPr>
        <w:tblStyle w:val="167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20"/>
        <w:gridCol w:w="1811"/>
        <w:gridCol w:w="1898"/>
        <w:gridCol w:w="2022"/>
        <w:gridCol w:w="1949"/>
      </w:tblGrid>
      <w:tr w14:paraId="12286F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320" w:type="dxa"/>
            <w:vAlign w:val="center"/>
          </w:tcPr>
          <w:p w14:paraId="5779171D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临床/工程痛点</w:t>
            </w:r>
          </w:p>
        </w:tc>
        <w:tc>
          <w:tcPr>
            <w:tcW w:w="1811" w:type="dxa"/>
            <w:vAlign w:val="center"/>
          </w:tcPr>
          <w:p w14:paraId="5A0C62CD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对应技术子模块</w:t>
            </w:r>
          </w:p>
        </w:tc>
        <w:tc>
          <w:tcPr>
            <w:tcW w:w="1898" w:type="dxa"/>
            <w:vAlign w:val="center"/>
          </w:tcPr>
          <w:p w14:paraId="67804398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创新点描述</w:t>
            </w:r>
          </w:p>
        </w:tc>
        <w:tc>
          <w:tcPr>
            <w:tcW w:w="2022" w:type="dxa"/>
            <w:vAlign w:val="center"/>
          </w:tcPr>
          <w:p w14:paraId="60250735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是否具备专利价值</w:t>
            </w:r>
          </w:p>
        </w:tc>
        <w:tc>
          <w:tcPr>
            <w:tcW w:w="1949" w:type="dxa"/>
            <w:vAlign w:val="center"/>
          </w:tcPr>
          <w:p w14:paraId="612615CA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专利类型</w:t>
            </w:r>
          </w:p>
          <w:p w14:paraId="35032681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（发明/实用新型）</w:t>
            </w:r>
          </w:p>
        </w:tc>
      </w:tr>
      <w:tr w14:paraId="7B08C6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Align w:val="center"/>
          </w:tcPr>
          <w:p w14:paraId="3FD01677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透明帽滑脱</w:t>
            </w:r>
          </w:p>
        </w:tc>
        <w:tc>
          <w:tcPr>
            <w:tcW w:w="1811" w:type="dxa"/>
            <w:vAlign w:val="center"/>
          </w:tcPr>
          <w:p w14:paraId="2FFA110F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透明帽结构</w:t>
            </w:r>
          </w:p>
        </w:tc>
        <w:tc>
          <w:tcPr>
            <w:tcW w:w="1898" w:type="dxa"/>
            <w:vAlign w:val="center"/>
          </w:tcPr>
          <w:p w14:paraId="2E255BCB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双层防滑结构/锁定槽</w:t>
            </w:r>
          </w:p>
        </w:tc>
        <w:tc>
          <w:tcPr>
            <w:tcW w:w="2022" w:type="dxa"/>
            <w:vAlign w:val="center"/>
          </w:tcPr>
          <w:p w14:paraId="7EF2F8C8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49" w:type="dxa"/>
            <w:vAlign w:val="center"/>
          </w:tcPr>
          <w:p w14:paraId="47AE8F85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7AA79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Align w:val="center"/>
          </w:tcPr>
          <w:p w14:paraId="196F09E7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轨迹不稳定</w:t>
            </w:r>
          </w:p>
        </w:tc>
        <w:tc>
          <w:tcPr>
            <w:tcW w:w="1811" w:type="dxa"/>
            <w:vAlign w:val="center"/>
          </w:tcPr>
          <w:p w14:paraId="7A07ADC4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控制系统</w:t>
            </w:r>
          </w:p>
        </w:tc>
        <w:tc>
          <w:tcPr>
            <w:tcW w:w="1898" w:type="dxa"/>
            <w:vAlign w:val="center"/>
          </w:tcPr>
          <w:p w14:paraId="213DE818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耐扰动直控算法</w:t>
            </w:r>
          </w:p>
        </w:tc>
        <w:tc>
          <w:tcPr>
            <w:tcW w:w="2022" w:type="dxa"/>
            <w:vAlign w:val="center"/>
          </w:tcPr>
          <w:p w14:paraId="702D2194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49" w:type="dxa"/>
            <w:vAlign w:val="center"/>
          </w:tcPr>
          <w:p w14:paraId="7D63E21E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03D7B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Align w:val="center"/>
          </w:tcPr>
          <w:p w14:paraId="6BDD36C3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场景复杂</w:t>
            </w:r>
          </w:p>
        </w:tc>
        <w:tc>
          <w:tcPr>
            <w:tcW w:w="1811" w:type="dxa"/>
            <w:vAlign w:val="center"/>
          </w:tcPr>
          <w:p w14:paraId="65553BB4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图像系统</w:t>
            </w:r>
          </w:p>
        </w:tc>
        <w:tc>
          <w:tcPr>
            <w:tcW w:w="1898" w:type="dxa"/>
            <w:vAlign w:val="center"/>
          </w:tcPr>
          <w:p w14:paraId="171A6A6F">
            <w:pPr>
              <w:pStyle w:val="166"/>
              <w:snapToGrid w:val="0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多模态融合导航</w:t>
            </w:r>
          </w:p>
        </w:tc>
        <w:tc>
          <w:tcPr>
            <w:tcW w:w="2022" w:type="dxa"/>
            <w:vAlign w:val="center"/>
          </w:tcPr>
          <w:p w14:paraId="42B61CF0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49" w:type="dxa"/>
            <w:vAlign w:val="center"/>
          </w:tcPr>
          <w:p w14:paraId="5982CE35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4D711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320" w:type="dxa"/>
            <w:vAlign w:val="center"/>
          </w:tcPr>
          <w:p w14:paraId="09EC8C2C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数据不统一</w:t>
            </w:r>
          </w:p>
        </w:tc>
        <w:tc>
          <w:tcPr>
            <w:tcW w:w="1811" w:type="dxa"/>
            <w:vAlign w:val="center"/>
          </w:tcPr>
          <w:p w14:paraId="015A927A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数据库</w:t>
            </w:r>
          </w:p>
        </w:tc>
        <w:tc>
          <w:tcPr>
            <w:tcW w:w="1898" w:type="dxa"/>
            <w:vAlign w:val="center"/>
          </w:tcPr>
          <w:p w14:paraId="6EB59355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统一编码索引体系</w:t>
            </w:r>
          </w:p>
        </w:tc>
        <w:tc>
          <w:tcPr>
            <w:tcW w:w="2022" w:type="dxa"/>
            <w:vAlign w:val="center"/>
          </w:tcPr>
          <w:p w14:paraId="0D3F3CA5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49" w:type="dxa"/>
            <w:vAlign w:val="center"/>
          </w:tcPr>
          <w:p w14:paraId="019A4D6B">
            <w:pPr>
              <w:pStyle w:val="166"/>
              <w:snapToGrid w:val="0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6DB81A60">
      <w:pPr>
        <w:rPr>
          <w:rFonts w:hint="eastAsia" w:ascii="楷体" w:hAnsi="楷体" w:eastAsia="楷体" w:cs="楷体"/>
          <w:sz w:val="21"/>
          <w:szCs w:val="21"/>
        </w:rPr>
      </w:pPr>
    </w:p>
    <w:bookmarkEnd w:id="105"/>
    <w:p w14:paraId="5177B50E">
      <w:pPr>
        <w:bidi w:val="0"/>
        <w:rPr>
          <w:rFonts w:hint="eastAsia" w:ascii="楷体" w:hAnsi="楷体" w:eastAsia="楷体" w:cs="楷体"/>
          <w:b/>
          <w:bCs/>
        </w:rPr>
      </w:pPr>
      <w:bookmarkStart w:id="106" w:name="五模块4专利空白区识别white-space-identification"/>
      <w:r>
        <w:rPr>
          <w:rFonts w:hint="eastAsia" w:ascii="楷体" w:hAnsi="楷体" w:eastAsia="楷体" w:cs="楷体"/>
          <w:b/>
          <w:bCs/>
        </w:rPr>
        <w:t>四、模块3：Patent Landscaping（竞争格局分析表）</w:t>
      </w:r>
    </w:p>
    <w:p w14:paraId="6D9F735A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检索策略（Search Strategy）</w:t>
      </w:r>
    </w:p>
    <w:p w14:paraId="0485F893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• 数据库：CNIPA / WIPO / USPTO / EPO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• 检索式（示例）：</w:t>
      </w:r>
    </w:p>
    <w:p w14:paraId="1675FF3B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(“endoscope” OR “laparoscope”) AND (“snare” OR “transparent cap”) AND (“mechanical arm” OR “robotic”)</w:t>
      </w:r>
    </w:p>
    <w:p w14:paraId="62361932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• 时间范围：近 10 年 • 专利类型：发明 + 实用新型 + PCT</w:t>
      </w:r>
    </w:p>
    <w:p w14:paraId="2C58979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专利分析主表（Patent Landscaping Table）</w:t>
      </w:r>
    </w:p>
    <w:tbl>
      <w:tblPr>
        <w:tblStyle w:val="33"/>
        <w:tblW w:w="908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40"/>
        <w:gridCol w:w="932"/>
        <w:gridCol w:w="845"/>
        <w:gridCol w:w="1380"/>
        <w:gridCol w:w="1140"/>
        <w:gridCol w:w="2475"/>
        <w:gridCol w:w="1275"/>
      </w:tblGrid>
      <w:tr w14:paraId="150776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995" w:type="dxa"/>
            <w:shd w:val="clear" w:color="auto" w:fill="auto"/>
            <w:vAlign w:val="center"/>
          </w:tcPr>
          <w:p w14:paraId="7464CE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专利号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69586F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申请人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6D5045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国家/地区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75AB7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技术主题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58998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关键创新点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46F8F8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潜在冲突性</w:t>
            </w:r>
          </w:p>
          <w:p w14:paraId="6DEEDF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（High/Medium/Low）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67BE4E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1DA3F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995" w:type="dxa"/>
            <w:shd w:val="clear" w:color="auto" w:fill="auto"/>
            <w:vAlign w:val="center"/>
          </w:tcPr>
          <w:p w14:paraId="19B73DD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CNxxxxxx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2EC242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奥林巴斯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3E3F10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中国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48CE4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透明帽结构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1B6FE1A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帽体加固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641F80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Medium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364035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与我方透明帽方向需规避</w:t>
            </w:r>
          </w:p>
        </w:tc>
      </w:tr>
      <w:tr w14:paraId="09A9C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995" w:type="dxa"/>
            <w:shd w:val="clear" w:color="auto" w:fill="auto"/>
            <w:vAlign w:val="center"/>
          </w:tcPr>
          <w:p w14:paraId="2B7C44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USxxxxxx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332BA7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Boston Sci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47F50D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美国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A4BF2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圈套器机构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35193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自动锁紧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7EED0E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High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1F092E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需设计差异化结构</w:t>
            </w:r>
          </w:p>
        </w:tc>
      </w:tr>
      <w:tr w14:paraId="642AD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995" w:type="dxa"/>
            <w:shd w:val="clear" w:color="auto" w:fill="auto"/>
            <w:vAlign w:val="center"/>
          </w:tcPr>
          <w:p w14:paraId="08BDE6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CNxxxxxx</w:t>
            </w:r>
          </w:p>
        </w:tc>
        <w:tc>
          <w:tcPr>
            <w:tcW w:w="902" w:type="dxa"/>
            <w:shd w:val="clear" w:color="auto" w:fill="auto"/>
            <w:vAlign w:val="center"/>
          </w:tcPr>
          <w:p w14:paraId="03A459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国内高校</w:t>
            </w:r>
          </w:p>
        </w:tc>
        <w:tc>
          <w:tcPr>
            <w:tcW w:w="815" w:type="dxa"/>
            <w:shd w:val="clear" w:color="auto" w:fill="auto"/>
            <w:vAlign w:val="center"/>
          </w:tcPr>
          <w:p w14:paraId="0E0B65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中国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224DA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微创机械臂</w:t>
            </w:r>
          </w:p>
        </w:tc>
        <w:tc>
          <w:tcPr>
            <w:tcW w:w="1110" w:type="dxa"/>
            <w:shd w:val="clear" w:color="auto" w:fill="auto"/>
            <w:vAlign w:val="center"/>
          </w:tcPr>
          <w:p w14:paraId="58BC88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力控算法</w:t>
            </w:r>
          </w:p>
        </w:tc>
        <w:tc>
          <w:tcPr>
            <w:tcW w:w="2445" w:type="dxa"/>
            <w:shd w:val="clear" w:color="auto" w:fill="auto"/>
            <w:vAlign w:val="center"/>
          </w:tcPr>
          <w:p w14:paraId="2723E55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Low</w:t>
            </w:r>
          </w:p>
        </w:tc>
        <w:tc>
          <w:tcPr>
            <w:tcW w:w="1230" w:type="dxa"/>
            <w:shd w:val="clear" w:color="auto" w:fill="auto"/>
            <w:vAlign w:val="center"/>
          </w:tcPr>
          <w:p w14:paraId="4A9C58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可参考但无冲突</w:t>
            </w:r>
          </w:p>
        </w:tc>
      </w:tr>
    </w:tbl>
    <w:p w14:paraId="0142FC77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五、模块4：专利空白区识别（White Space Identification）</w:t>
      </w:r>
    </w:p>
    <w:tbl>
      <w:tblPr>
        <w:tblStyle w:val="167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2182"/>
        <w:gridCol w:w="3032"/>
        <w:gridCol w:w="2182"/>
      </w:tblGrid>
      <w:tr w14:paraId="4ED86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455" w:type="dxa"/>
          </w:tcPr>
          <w:p w14:paraId="0F863F78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技术模块</w:t>
            </w:r>
          </w:p>
        </w:tc>
        <w:tc>
          <w:tcPr>
            <w:tcW w:w="2182" w:type="dxa"/>
          </w:tcPr>
          <w:p w14:paraId="2C56EC63">
            <w:pPr>
              <w:pStyle w:val="166"/>
              <w:keepNext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现有专利集中区域</w:t>
            </w:r>
          </w:p>
        </w:tc>
        <w:tc>
          <w:tcPr>
            <w:tcW w:w="3032" w:type="dxa"/>
          </w:tcPr>
          <w:p w14:paraId="39A9727F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空白区域（可突破方向）</w:t>
            </w:r>
          </w:p>
        </w:tc>
        <w:tc>
          <w:tcPr>
            <w:tcW w:w="2182" w:type="dxa"/>
          </w:tcPr>
          <w:p w14:paraId="5BF545EF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我方可布局点</w:t>
            </w:r>
          </w:p>
        </w:tc>
      </w:tr>
      <w:tr w14:paraId="7E9AA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5" w:type="dxa"/>
          </w:tcPr>
          <w:p w14:paraId="1A7DA4C3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透明帽结构</w:t>
            </w:r>
          </w:p>
        </w:tc>
        <w:tc>
          <w:tcPr>
            <w:tcW w:w="2182" w:type="dxa"/>
          </w:tcPr>
          <w:p w14:paraId="3679BD3B">
            <w:pPr>
              <w:pStyle w:val="166"/>
              <w:keepNext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单层帽、固定槽</w:t>
            </w:r>
          </w:p>
        </w:tc>
        <w:tc>
          <w:tcPr>
            <w:tcW w:w="3032" w:type="dxa"/>
          </w:tcPr>
          <w:p w14:paraId="6FCD07AC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多层结构、自适应帽体</w:t>
            </w:r>
          </w:p>
        </w:tc>
        <w:tc>
          <w:tcPr>
            <w:tcW w:w="2182" w:type="dxa"/>
          </w:tcPr>
          <w:p w14:paraId="5A7047DC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CETC帽体结构</w:t>
            </w:r>
          </w:p>
        </w:tc>
      </w:tr>
      <w:tr w14:paraId="2471E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5" w:type="dxa"/>
          </w:tcPr>
          <w:p w14:paraId="0A3BDDFA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工程控制</w:t>
            </w:r>
          </w:p>
        </w:tc>
        <w:tc>
          <w:tcPr>
            <w:tcW w:w="2182" w:type="dxa"/>
          </w:tcPr>
          <w:p w14:paraId="4CD76440">
            <w:pPr>
              <w:pStyle w:val="166"/>
              <w:keepNext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传统 PID</w:t>
            </w:r>
          </w:p>
        </w:tc>
        <w:tc>
          <w:tcPr>
            <w:tcW w:w="3032" w:type="dxa"/>
          </w:tcPr>
          <w:p w14:paraId="7FCBA349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医生直控 + 阻抗混合控制</w:t>
            </w:r>
          </w:p>
        </w:tc>
        <w:tc>
          <w:tcPr>
            <w:tcW w:w="2182" w:type="dxa"/>
          </w:tcPr>
          <w:p w14:paraId="5C0A7A12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直控导纳混合控制</w:t>
            </w:r>
          </w:p>
        </w:tc>
      </w:tr>
      <w:tr w14:paraId="1B91E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5" w:type="dxa"/>
          </w:tcPr>
          <w:p w14:paraId="087C0720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AI 模型</w:t>
            </w:r>
          </w:p>
        </w:tc>
        <w:tc>
          <w:tcPr>
            <w:tcW w:w="2182" w:type="dxa"/>
          </w:tcPr>
          <w:p w14:paraId="721F5184">
            <w:pPr>
              <w:pStyle w:val="166"/>
              <w:keepNext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通用 NLP</w:t>
            </w:r>
          </w:p>
        </w:tc>
        <w:tc>
          <w:tcPr>
            <w:tcW w:w="3032" w:type="dxa"/>
          </w:tcPr>
          <w:p w14:paraId="3093F374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术中结构识别模型</w:t>
            </w:r>
          </w:p>
        </w:tc>
        <w:tc>
          <w:tcPr>
            <w:tcW w:w="2182" w:type="dxa"/>
          </w:tcPr>
          <w:p w14:paraId="70D3CC33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C-EMR 场景模型</w:t>
            </w:r>
          </w:p>
        </w:tc>
      </w:tr>
      <w:tr w14:paraId="722FA0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455" w:type="dxa"/>
          </w:tcPr>
          <w:p w14:paraId="2D684676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数据结构</w:t>
            </w:r>
          </w:p>
        </w:tc>
        <w:tc>
          <w:tcPr>
            <w:tcW w:w="2182" w:type="dxa"/>
          </w:tcPr>
          <w:p w14:paraId="1771C08B">
            <w:pPr>
              <w:pStyle w:val="166"/>
              <w:keepNext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单中心</w:t>
            </w:r>
          </w:p>
        </w:tc>
        <w:tc>
          <w:tcPr>
            <w:tcW w:w="3032" w:type="dxa"/>
          </w:tcPr>
          <w:p w14:paraId="78EF7395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DIDTS链数据库</w:t>
            </w:r>
          </w:p>
        </w:tc>
        <w:tc>
          <w:tcPr>
            <w:tcW w:w="2182" w:type="dxa"/>
          </w:tcPr>
          <w:p w14:paraId="5497155B">
            <w:pPr>
              <w:pStyle w:val="166"/>
              <w:keepNext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统一字段体系专利</w:t>
            </w:r>
          </w:p>
        </w:tc>
      </w:tr>
      <w:bookmarkEnd w:id="106"/>
    </w:tbl>
    <w:p w14:paraId="6450EB7F">
      <w:pPr>
        <w:bidi w:val="0"/>
        <w:rPr>
          <w:rFonts w:hint="eastAsia" w:ascii="楷体" w:hAnsi="楷体" w:eastAsia="楷体" w:cs="楷体"/>
          <w:b/>
          <w:bCs/>
        </w:rPr>
      </w:pPr>
      <w:bookmarkStart w:id="107" w:name="八专利撰写要点可直接用于技术交底书"/>
      <w:r>
        <w:rPr>
          <w:rFonts w:hint="eastAsia" w:ascii="楷体" w:hAnsi="楷体" w:eastAsia="楷体" w:cs="楷体"/>
          <w:b/>
          <w:bCs/>
        </w:rPr>
        <w:t>六、模块5：早期专利组合设计（Patent Portfolio）</w:t>
      </w:r>
    </w:p>
    <w:tbl>
      <w:tblPr>
        <w:tblStyle w:val="33"/>
        <w:tblW w:w="885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81"/>
        <w:gridCol w:w="3409"/>
        <w:gridCol w:w="1073"/>
        <w:gridCol w:w="1559"/>
        <w:gridCol w:w="654"/>
        <w:gridCol w:w="1081"/>
      </w:tblGrid>
      <w:tr w14:paraId="1ECDC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53027FD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专利方向</w:t>
            </w:r>
          </w:p>
        </w:tc>
        <w:tc>
          <w:tcPr>
            <w:tcW w:w="3379" w:type="dxa"/>
            <w:shd w:val="clear" w:color="auto" w:fill="auto"/>
            <w:vAlign w:val="center"/>
          </w:tcPr>
          <w:p w14:paraId="0BEC2F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专利名称（暂定）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598EE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类型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36336E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技术亮点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4A1B3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风险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948BA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时间节点</w:t>
            </w:r>
          </w:p>
        </w:tc>
      </w:tr>
      <w:tr w14:paraId="2FE47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2F5939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结构创新</w:t>
            </w:r>
          </w:p>
        </w:tc>
        <w:tc>
          <w:tcPr>
            <w:tcW w:w="3379" w:type="dxa"/>
            <w:shd w:val="clear" w:color="auto" w:fill="auto"/>
            <w:vAlign w:val="center"/>
          </w:tcPr>
          <w:p w14:paraId="0CF139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新型延长透明帽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9F9C7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实用新型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2D5F550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防滑 + 防脱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089E46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低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A343C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T0+1 月</w:t>
            </w:r>
          </w:p>
        </w:tc>
      </w:tr>
      <w:tr w14:paraId="0762B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2CDB88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手控直控</w:t>
            </w:r>
          </w:p>
        </w:tc>
        <w:tc>
          <w:tcPr>
            <w:tcW w:w="3379" w:type="dxa"/>
            <w:shd w:val="clear" w:color="auto" w:fill="auto"/>
            <w:vAlign w:val="center"/>
          </w:tcPr>
          <w:p w14:paraId="67B7C4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基于导纳-阻抗混合控制的手控机械臂系统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5725D3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发明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1FB4B83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直控策略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39A9C3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中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04A56E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T0+3 月</w:t>
            </w:r>
          </w:p>
        </w:tc>
      </w:tr>
      <w:tr w14:paraId="3FB08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5ADE52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AI 场景</w:t>
            </w:r>
          </w:p>
        </w:tc>
        <w:tc>
          <w:tcPr>
            <w:tcW w:w="3379" w:type="dxa"/>
            <w:shd w:val="clear" w:color="auto" w:fill="auto"/>
            <w:vAlign w:val="center"/>
          </w:tcPr>
          <w:p w14:paraId="185F77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基于 C-EMR 的语义导航系统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249458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发明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0F63D6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场景感知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60C66A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中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266BD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T0+6 月</w:t>
            </w:r>
          </w:p>
        </w:tc>
      </w:tr>
      <w:tr w14:paraId="25A6D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036" w:type="dxa"/>
            <w:shd w:val="clear" w:color="auto" w:fill="auto"/>
            <w:vAlign w:val="center"/>
          </w:tcPr>
          <w:p w14:paraId="4FF7A0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数据库</w:t>
            </w:r>
          </w:p>
        </w:tc>
        <w:tc>
          <w:tcPr>
            <w:tcW w:w="3379" w:type="dxa"/>
            <w:shd w:val="clear" w:color="auto" w:fill="auto"/>
            <w:vAlign w:val="center"/>
          </w:tcPr>
          <w:p w14:paraId="2FED8C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统一字段结构体系</w:t>
            </w:r>
          </w:p>
        </w:tc>
        <w:tc>
          <w:tcPr>
            <w:tcW w:w="1043" w:type="dxa"/>
            <w:shd w:val="clear" w:color="auto" w:fill="auto"/>
            <w:vAlign w:val="center"/>
          </w:tcPr>
          <w:p w14:paraId="0603F1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发明</w:t>
            </w:r>
          </w:p>
        </w:tc>
        <w:tc>
          <w:tcPr>
            <w:tcW w:w="1529" w:type="dxa"/>
            <w:shd w:val="clear" w:color="auto" w:fill="auto"/>
            <w:vAlign w:val="center"/>
          </w:tcPr>
          <w:p w14:paraId="556CBF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FHIR-Lite 本地化</w:t>
            </w:r>
          </w:p>
        </w:tc>
        <w:tc>
          <w:tcPr>
            <w:tcW w:w="624" w:type="dxa"/>
            <w:shd w:val="clear" w:color="auto" w:fill="auto"/>
            <w:vAlign w:val="center"/>
          </w:tcPr>
          <w:p w14:paraId="1E5802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低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F6003C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T0+6 月</w:t>
            </w:r>
          </w:p>
        </w:tc>
      </w:tr>
    </w:tbl>
    <w:p w14:paraId="08B59DD7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八、专利撰写要点（可直接用于技术交底书）</w:t>
      </w:r>
    </w:p>
    <w:p w14:paraId="38430C82">
      <w:pPr>
        <w:pStyle w:val="166"/>
        <w:numPr>
          <w:ilvl w:val="0"/>
          <w:numId w:val="76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必须体现“结构 + 功能 + 效果”三段式。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</w:p>
    <w:p w14:paraId="6F6D456E">
      <w:pPr>
        <w:pStyle w:val="166"/>
        <w:numPr>
          <w:ilvl w:val="0"/>
          <w:numId w:val="76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每个权利要求必须具备差异化技术特征。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</w:p>
    <w:p w14:paraId="5D3BAE91">
      <w:pPr>
        <w:pStyle w:val="166"/>
        <w:numPr>
          <w:ilvl w:val="0"/>
          <w:numId w:val="76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研究中发现的偶然性改进也要纳入专利池。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</w:p>
    <w:p w14:paraId="4586C2C5">
      <w:pPr>
        <w:pStyle w:val="166"/>
        <w:numPr>
          <w:ilvl w:val="0"/>
          <w:numId w:val="76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工程/AI 项目要特别注意避免暴露算法细节。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</w:p>
    <w:p w14:paraId="5A1A7CAE">
      <w:pPr>
        <w:pStyle w:val="166"/>
        <w:numPr>
          <w:ilvl w:val="0"/>
          <w:numId w:val="76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大部分专利建议在 T0+1 月即启动初稿。</w:t>
      </w:r>
    </w:p>
    <w:bookmarkEnd w:id="107"/>
    <w:p w14:paraId="1618DE15">
      <w:pPr>
        <w:bidi w:val="0"/>
        <w:rPr>
          <w:rFonts w:hint="eastAsia" w:ascii="楷体" w:hAnsi="楷体" w:eastAsia="楷体" w:cs="楷体"/>
          <w:b/>
          <w:bCs/>
        </w:rPr>
      </w:pPr>
      <w:bookmarkStart w:id="108" w:name="十一适用于医工交叉科室的特别说明"/>
      <w:r>
        <w:rPr>
          <w:rFonts w:hint="eastAsia" w:ascii="楷体" w:hAnsi="楷体" w:eastAsia="楷体" w:cs="楷体"/>
          <w:b/>
          <w:bCs/>
        </w:rPr>
        <w:t>九、专利文件清单（建议统一模板）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49"/>
        <w:gridCol w:w="2662"/>
        <w:gridCol w:w="1868"/>
        <w:gridCol w:w="1390"/>
        <w:gridCol w:w="778"/>
      </w:tblGrid>
      <w:tr w14:paraId="183C2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0" w:hRule="atLeast"/>
          <w:tblHeader/>
          <w:tblCellSpacing w:w="15" w:type="dxa"/>
          <w:jc w:val="center"/>
        </w:trPr>
        <w:tc>
          <w:tcPr>
            <w:tcW w:w="2004" w:type="dxa"/>
            <w:shd w:val="clear" w:color="auto" w:fill="auto"/>
            <w:vAlign w:val="center"/>
          </w:tcPr>
          <w:p w14:paraId="0C6EEB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文件类型</w:t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6CE1F2B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内容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4C14677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完成者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CF9FC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审核者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3F6672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时间</w:t>
            </w:r>
          </w:p>
        </w:tc>
      </w:tr>
      <w:tr w14:paraId="11B4C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004" w:type="dxa"/>
            <w:shd w:val="clear" w:color="auto" w:fill="auto"/>
            <w:vAlign w:val="center"/>
          </w:tcPr>
          <w:p w14:paraId="269854A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技术交底书</w:t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527E5F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技术原理、创新点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65B1408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PI/工程师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03AB7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科研助理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6276B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0C334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004" w:type="dxa"/>
            <w:shd w:val="clear" w:color="auto" w:fill="auto"/>
            <w:vAlign w:val="center"/>
          </w:tcPr>
          <w:p w14:paraId="0B03A7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结构图</w:t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180128F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结构草图/CAD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9C55F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工程师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B81339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PI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A0F82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0C9D10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004" w:type="dxa"/>
            <w:shd w:val="clear" w:color="auto" w:fill="auto"/>
            <w:vAlign w:val="center"/>
          </w:tcPr>
          <w:p w14:paraId="14F871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临床痛点说明</w:t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7A534AA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Clinical Needs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257331B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医师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FFB485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PI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0AF651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1E92F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004" w:type="dxa"/>
            <w:shd w:val="clear" w:color="auto" w:fill="auto"/>
            <w:vAlign w:val="center"/>
          </w:tcPr>
          <w:p w14:paraId="7372A9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专利撰写初稿</w:t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16EBC5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权利要求书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094165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专利代理人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0BA88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PI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6A2676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4896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004" w:type="dxa"/>
            <w:shd w:val="clear" w:color="auto" w:fill="auto"/>
            <w:vAlign w:val="center"/>
          </w:tcPr>
          <w:p w14:paraId="70CDED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审核意见表</w:t>
            </w:r>
          </w:p>
        </w:tc>
        <w:tc>
          <w:tcPr>
            <w:tcW w:w="2632" w:type="dxa"/>
            <w:shd w:val="clear" w:color="auto" w:fill="auto"/>
            <w:vAlign w:val="center"/>
          </w:tcPr>
          <w:p w14:paraId="7293D07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技术核查</w:t>
            </w:r>
          </w:p>
        </w:tc>
        <w:tc>
          <w:tcPr>
            <w:tcW w:w="1838" w:type="dxa"/>
            <w:shd w:val="clear" w:color="auto" w:fill="auto"/>
            <w:vAlign w:val="center"/>
          </w:tcPr>
          <w:p w14:paraId="311ADB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PI/工程团队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AFB601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代理机构</w:t>
            </w:r>
          </w:p>
        </w:tc>
        <w:tc>
          <w:tcPr>
            <w:tcW w:w="733" w:type="dxa"/>
            <w:shd w:val="clear" w:color="auto" w:fill="auto"/>
            <w:vAlign w:val="center"/>
          </w:tcPr>
          <w:p w14:paraId="1E3D8D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59C54E5D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十、Early-stage IP Mapping 流程（适用于所有课题）</w:t>
      </w:r>
    </w:p>
    <w:p w14:paraId="0BBA171D">
      <w:pPr>
        <w:pStyle w:val="30"/>
        <w:keepNext w:val="0"/>
        <w:keepLines w:val="0"/>
        <w:widowControl/>
        <w:numPr>
          <w:ilvl w:val="0"/>
          <w:numId w:val="77"/>
        </w:numPr>
        <w:suppressLineNumbers w:val="0"/>
        <w:ind w:left="720" w:leftChars="0" w:hanging="36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立项当周完成技术拆解（T0–7天）</w:t>
      </w:r>
    </w:p>
    <w:p w14:paraId="24CAD51F">
      <w:pPr>
        <w:pStyle w:val="30"/>
        <w:keepNext w:val="0"/>
        <w:keepLines w:val="0"/>
        <w:widowControl/>
        <w:numPr>
          <w:ilvl w:val="0"/>
          <w:numId w:val="77"/>
        </w:numPr>
        <w:suppressLineNumbers w:val="0"/>
        <w:ind w:left="720" w:leftChars="0" w:hanging="36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两周内完成 Pain Point → Innovation Mapping</w:t>
      </w:r>
    </w:p>
    <w:p w14:paraId="256E954F">
      <w:pPr>
        <w:pStyle w:val="30"/>
        <w:keepNext w:val="0"/>
        <w:keepLines w:val="0"/>
        <w:widowControl/>
        <w:numPr>
          <w:ilvl w:val="0"/>
          <w:numId w:val="77"/>
        </w:numPr>
        <w:suppressLineNumbers w:val="0"/>
        <w:ind w:left="720" w:leftChars="0" w:hanging="36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一个月内完成 Patent Landscaping</w:t>
      </w:r>
    </w:p>
    <w:p w14:paraId="08BEFAEF">
      <w:pPr>
        <w:pStyle w:val="30"/>
        <w:keepNext w:val="0"/>
        <w:keepLines w:val="0"/>
        <w:widowControl/>
        <w:numPr>
          <w:ilvl w:val="0"/>
          <w:numId w:val="77"/>
        </w:numPr>
        <w:suppressLineNumbers w:val="0"/>
        <w:ind w:left="720" w:leftChars="0" w:hanging="36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第二个月提交 2–3 项可申请专利</w:t>
      </w:r>
    </w:p>
    <w:p w14:paraId="18B610EB">
      <w:pPr>
        <w:pStyle w:val="30"/>
        <w:keepNext w:val="0"/>
        <w:keepLines w:val="0"/>
        <w:widowControl/>
        <w:numPr>
          <w:ilvl w:val="0"/>
          <w:numId w:val="77"/>
        </w:numPr>
        <w:suppressLineNumbers w:val="0"/>
        <w:ind w:left="720" w:leftChars="0" w:hanging="36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课题中期每三个月更新 White Space</w:t>
      </w:r>
    </w:p>
    <w:p w14:paraId="78829BAA">
      <w:pPr>
        <w:pStyle w:val="30"/>
        <w:keepNext w:val="0"/>
        <w:keepLines w:val="0"/>
        <w:widowControl/>
        <w:numPr>
          <w:ilvl w:val="0"/>
          <w:numId w:val="77"/>
        </w:numPr>
        <w:suppressLineNumbers w:val="0"/>
        <w:ind w:left="720" w:leftChars="0" w:hanging="36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发表论文前再次审查 IP 冲突</w:t>
      </w:r>
    </w:p>
    <w:p w14:paraId="4BDAA647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十一、适用于医工交叉科室的特别说明</w:t>
      </w:r>
    </w:p>
    <w:p w14:paraId="26FEF7E0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该模板可用于 CETC、SMLSP、C-EMR、DIDTS 链数据库、AI 模型等所有方向。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</w:p>
    <w:p w14:paraId="55B1D5B5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课题必须在初期同时推进：</w:t>
      </w:r>
      <w:r>
        <w:rPr>
          <w:rFonts w:hint="eastAsia" w:ascii="楷体" w:hAnsi="楷体" w:eastAsia="楷体" w:cs="楷体"/>
          <w:b/>
          <w:bCs/>
          <w:sz w:val="21"/>
          <w:szCs w:val="21"/>
        </w:rPr>
        <w:t>Protocol—CRF—数据字典—SAP—IP Mapping（四前置化）</w:t>
      </w:r>
      <w:r>
        <w:rPr>
          <w:rFonts w:hint="eastAsia" w:ascii="楷体" w:hAnsi="楷体" w:eastAsia="楷体" w:cs="楷体"/>
          <w:sz w:val="21"/>
          <w:szCs w:val="21"/>
        </w:rPr>
        <w:t>。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</w:p>
    <w:p w14:paraId="463E4F33">
      <w:pPr>
        <w:pStyle w:val="166"/>
        <w:numPr>
          <w:ilvl w:val="0"/>
          <w:numId w:val="72"/>
        </w:numPr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科研助理负责维持 IP Mapping 更新，主研者提交创新点。</w:t>
      </w:r>
    </w:p>
    <w:bookmarkEnd w:id="108"/>
    <w:p w14:paraId="2E8870D1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附件10 </w:t>
      </w:r>
      <w:r>
        <w:rPr>
          <w:rFonts w:hint="eastAsia" w:ascii="黑体" w:hAnsi="黑体" w:eastAsia="黑体" w:cs="黑体"/>
        </w:rPr>
        <w:t>中期评估表格</w:t>
      </w:r>
    </w:p>
    <w:p w14:paraId="7BE65470">
      <w:pPr>
        <w:pStyle w:val="30"/>
        <w:keepNext w:val="0"/>
        <w:keepLines w:val="0"/>
        <w:widowControl/>
        <w:suppressLineNumbers w:val="0"/>
        <w:ind w:firstLine="420" w:firstLineChars="20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 xml:space="preserve">适用于所有课题类型（RWS / RCT / 工程器械 / AI），用于项目实施中期（一般为项目周期的 40%–60%）的阶段性评估与督导，支持 </w:t>
      </w:r>
      <w:r>
        <w:rPr>
          <w:rFonts w:hint="eastAsia" w:ascii="楷体" w:hAnsi="楷体" w:eastAsia="楷体" w:cs="楷体"/>
          <w:sz w:val="21"/>
          <w:szCs w:val="21"/>
          <w:lang w:eastAsia="zh-CN"/>
        </w:rPr>
        <w:t>SRWS</w:t>
      </w:r>
      <w:r>
        <w:rPr>
          <w:rFonts w:hint="eastAsia" w:ascii="楷体" w:hAnsi="楷体" w:eastAsia="楷体" w:cs="楷体"/>
          <w:sz w:val="21"/>
          <w:szCs w:val="21"/>
        </w:rPr>
        <w:t>（</w:t>
      </w:r>
      <w:r>
        <w:rPr>
          <w:rFonts w:hint="eastAsia" w:ascii="楷体" w:hAnsi="楷体" w:eastAsia="楷体" w:cs="楷体"/>
          <w:sz w:val="21"/>
          <w:szCs w:val="21"/>
          <w:lang w:eastAsia="zh-CN"/>
        </w:rPr>
        <w:t>标准化科研全流程体系</w:t>
      </w:r>
      <w:r>
        <w:rPr>
          <w:rFonts w:hint="eastAsia" w:ascii="楷体" w:hAnsi="楷体" w:eastAsia="楷体" w:cs="楷体"/>
          <w:sz w:val="21"/>
          <w:szCs w:val="21"/>
        </w:rPr>
        <w:t>）运行监测。</w:t>
      </w:r>
    </w:p>
    <w:p w14:paraId="4A72E694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一、项目基本信息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42"/>
        <w:gridCol w:w="5205"/>
      </w:tblGrid>
      <w:tr w14:paraId="268BF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0" w:hRule="atLeast"/>
          <w:tblCellSpacing w:w="15" w:type="dxa"/>
          <w:jc w:val="center"/>
        </w:trPr>
        <w:tc>
          <w:tcPr>
            <w:tcW w:w="3497" w:type="dxa"/>
            <w:shd w:val="clear" w:color="auto" w:fill="auto"/>
            <w:vAlign w:val="center"/>
          </w:tcPr>
          <w:p w14:paraId="5D574EB8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5160" w:type="dxa"/>
            <w:shd w:val="clear" w:color="auto" w:fill="auto"/>
            <w:vAlign w:val="center"/>
          </w:tcPr>
          <w:p w14:paraId="78E06300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339FE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497" w:type="dxa"/>
            <w:shd w:val="clear" w:color="auto" w:fill="auto"/>
            <w:vAlign w:val="center"/>
          </w:tcPr>
          <w:p w14:paraId="22379245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批准编号</w:t>
            </w:r>
          </w:p>
        </w:tc>
        <w:tc>
          <w:tcPr>
            <w:tcW w:w="5160" w:type="dxa"/>
            <w:shd w:val="clear" w:color="auto" w:fill="auto"/>
            <w:vAlign w:val="center"/>
          </w:tcPr>
          <w:p w14:paraId="227F9E51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76959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497" w:type="dxa"/>
            <w:shd w:val="clear" w:color="auto" w:fill="auto"/>
            <w:vAlign w:val="center"/>
          </w:tcPr>
          <w:p w14:paraId="06078EFB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主研人员（PI）</w:t>
            </w:r>
          </w:p>
        </w:tc>
        <w:tc>
          <w:tcPr>
            <w:tcW w:w="5160" w:type="dxa"/>
            <w:shd w:val="clear" w:color="auto" w:fill="auto"/>
            <w:vAlign w:val="center"/>
          </w:tcPr>
          <w:p w14:paraId="40AE7CA2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5803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497" w:type="dxa"/>
            <w:shd w:val="clear" w:color="auto" w:fill="auto"/>
            <w:vAlign w:val="center"/>
          </w:tcPr>
          <w:p w14:paraId="5756B676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所属方向</w:t>
            </w:r>
          </w:p>
        </w:tc>
        <w:tc>
          <w:tcPr>
            <w:tcW w:w="5160" w:type="dxa"/>
            <w:shd w:val="clear" w:color="auto" w:fill="auto"/>
            <w:vAlign w:val="center"/>
          </w:tcPr>
          <w:p w14:paraId="3F913FA9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RWS / RCT / 工程 / AI</w:t>
            </w:r>
          </w:p>
        </w:tc>
      </w:tr>
      <w:tr w14:paraId="71BB99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497" w:type="dxa"/>
            <w:shd w:val="clear" w:color="auto" w:fill="auto"/>
            <w:vAlign w:val="center"/>
          </w:tcPr>
          <w:p w14:paraId="1BA1851D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5160" w:type="dxa"/>
            <w:shd w:val="clear" w:color="auto" w:fill="auto"/>
            <w:vAlign w:val="center"/>
          </w:tcPr>
          <w:p w14:paraId="5CCC49FB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2D678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497" w:type="dxa"/>
            <w:shd w:val="clear" w:color="auto" w:fill="auto"/>
            <w:vAlign w:val="center"/>
          </w:tcPr>
          <w:p w14:paraId="68619A8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评估日期</w:t>
            </w:r>
          </w:p>
        </w:tc>
        <w:tc>
          <w:tcPr>
            <w:tcW w:w="5160" w:type="dxa"/>
            <w:shd w:val="clear" w:color="auto" w:fill="auto"/>
            <w:vAlign w:val="center"/>
          </w:tcPr>
          <w:p w14:paraId="46996972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01DFB839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二、阶段进展评估（按“四前置化”要求）</w:t>
      </w:r>
    </w:p>
    <w:p w14:paraId="370CC1A1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Protocol 前置化（研究方案）</w:t>
      </w:r>
    </w:p>
    <w:tbl>
      <w:tblPr>
        <w:tblStyle w:val="33"/>
        <w:tblW w:w="8856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63"/>
        <w:gridCol w:w="3030"/>
        <w:gridCol w:w="1831"/>
        <w:gridCol w:w="520"/>
        <w:gridCol w:w="1412"/>
      </w:tblGrid>
      <w:tr w14:paraId="603D9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018" w:type="dxa"/>
            <w:shd w:val="clear" w:color="auto" w:fill="auto"/>
            <w:vAlign w:val="center"/>
          </w:tcPr>
          <w:p w14:paraId="2DE0FE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2A3BAB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要求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0D1FDF9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完成情况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2AA90F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证据</w:t>
            </w:r>
          </w:p>
        </w:tc>
        <w:tc>
          <w:tcPr>
            <w:tcW w:w="1367" w:type="dxa"/>
            <w:shd w:val="clear" w:color="auto" w:fill="auto"/>
            <w:vAlign w:val="center"/>
          </w:tcPr>
          <w:p w14:paraId="769E941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5E25B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018" w:type="dxa"/>
            <w:shd w:val="clear" w:color="auto" w:fill="auto"/>
            <w:vAlign w:val="center"/>
          </w:tcPr>
          <w:p w14:paraId="52E833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Protocol 定稿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E310C0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完成最终版并备案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30B983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13A824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7A1916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合格 / 待改</w:t>
            </w:r>
          </w:p>
        </w:tc>
      </w:tr>
      <w:tr w14:paraId="72B16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018" w:type="dxa"/>
            <w:shd w:val="clear" w:color="auto" w:fill="auto"/>
            <w:vAlign w:val="center"/>
          </w:tcPr>
          <w:p w14:paraId="2145B9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研究注册（如适用）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2BD8AB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ChiCTR / ClinicalTrials.gov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6FB1F4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4EBD3B6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7B2BE7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17FA0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018" w:type="dxa"/>
            <w:shd w:val="clear" w:color="auto" w:fill="auto"/>
            <w:vAlign w:val="center"/>
          </w:tcPr>
          <w:p w14:paraId="11DA59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中期执行一致性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38D3B4F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方案偏离情况记录</w:t>
            </w:r>
          </w:p>
        </w:tc>
        <w:tc>
          <w:tcPr>
            <w:tcW w:w="1801" w:type="dxa"/>
            <w:shd w:val="clear" w:color="auto" w:fill="auto"/>
            <w:vAlign w:val="center"/>
          </w:tcPr>
          <w:p w14:paraId="31F9FB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良好 / 一般 / 差</w:t>
            </w:r>
          </w:p>
        </w:tc>
        <w:tc>
          <w:tcPr>
            <w:tcW w:w="490" w:type="dxa"/>
            <w:shd w:val="clear" w:color="auto" w:fill="auto"/>
            <w:vAlign w:val="center"/>
          </w:tcPr>
          <w:p w14:paraId="5973EA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367" w:type="dxa"/>
            <w:shd w:val="clear" w:color="auto" w:fill="auto"/>
            <w:vAlign w:val="center"/>
          </w:tcPr>
          <w:p w14:paraId="2D8802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2C99A0F2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CRF 前置化（Case Report Form）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35"/>
        <w:gridCol w:w="3035"/>
        <w:gridCol w:w="1416"/>
        <w:gridCol w:w="769"/>
        <w:gridCol w:w="792"/>
      </w:tblGrid>
      <w:tr w14:paraId="116E7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690" w:type="dxa"/>
            <w:shd w:val="clear" w:color="auto" w:fill="auto"/>
            <w:vAlign w:val="center"/>
          </w:tcPr>
          <w:p w14:paraId="57DEDA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6EA380A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要求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2EEC33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完成情况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6263467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证据</w:t>
            </w:r>
          </w:p>
        </w:tc>
        <w:tc>
          <w:tcPr>
            <w:tcW w:w="747" w:type="dxa"/>
            <w:shd w:val="clear" w:color="auto" w:fill="auto"/>
            <w:vAlign w:val="center"/>
          </w:tcPr>
          <w:p w14:paraId="41738E5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56550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690" w:type="dxa"/>
            <w:shd w:val="clear" w:color="auto" w:fill="auto"/>
            <w:vAlign w:val="center"/>
          </w:tcPr>
          <w:p w14:paraId="36290A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CRF 定稿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427232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与数据字典一一对应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4D2F54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25EB7B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1A6519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24F0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690" w:type="dxa"/>
            <w:shd w:val="clear" w:color="auto" w:fill="auto"/>
            <w:vAlign w:val="center"/>
          </w:tcPr>
          <w:p w14:paraId="0D0375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CRF 填报完整性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478E5C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完整率 ≥ 90%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3D0ABB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699ED3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620AF1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0AB70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690" w:type="dxa"/>
            <w:shd w:val="clear" w:color="auto" w:fill="auto"/>
            <w:vAlign w:val="center"/>
          </w:tcPr>
          <w:p w14:paraId="1320D1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CRF 与数据库映射</w:t>
            </w:r>
          </w:p>
        </w:tc>
        <w:tc>
          <w:tcPr>
            <w:tcW w:w="3005" w:type="dxa"/>
            <w:shd w:val="clear" w:color="auto" w:fill="auto"/>
            <w:vAlign w:val="center"/>
          </w:tcPr>
          <w:p w14:paraId="17EC7C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映射表完成</w:t>
            </w:r>
          </w:p>
        </w:tc>
        <w:tc>
          <w:tcPr>
            <w:tcW w:w="1386" w:type="dxa"/>
            <w:shd w:val="clear" w:color="auto" w:fill="auto"/>
            <w:vAlign w:val="center"/>
          </w:tcPr>
          <w:p w14:paraId="7665DB0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739" w:type="dxa"/>
            <w:shd w:val="clear" w:color="auto" w:fill="auto"/>
            <w:vAlign w:val="center"/>
          </w:tcPr>
          <w:p w14:paraId="40949A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747" w:type="dxa"/>
            <w:shd w:val="clear" w:color="auto" w:fill="auto"/>
            <w:vAlign w:val="center"/>
          </w:tcPr>
          <w:p w14:paraId="24B6964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20892A24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 数据字典前置化（Data Dictionary）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77"/>
        <w:gridCol w:w="3397"/>
        <w:gridCol w:w="1586"/>
        <w:gridCol w:w="887"/>
      </w:tblGrid>
      <w:tr w14:paraId="15796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832" w:type="dxa"/>
            <w:shd w:val="clear" w:color="auto" w:fill="auto"/>
            <w:vAlign w:val="center"/>
          </w:tcPr>
          <w:p w14:paraId="18903B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4FF422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要求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4A3285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完成情况</w:t>
            </w:r>
          </w:p>
        </w:tc>
        <w:tc>
          <w:tcPr>
            <w:tcW w:w="842" w:type="dxa"/>
            <w:shd w:val="clear" w:color="auto" w:fill="auto"/>
            <w:vAlign w:val="center"/>
          </w:tcPr>
          <w:p w14:paraId="1C5543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3476D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832" w:type="dxa"/>
            <w:shd w:val="clear" w:color="auto" w:fill="auto"/>
            <w:vAlign w:val="center"/>
          </w:tcPr>
          <w:p w14:paraId="301C45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字段定义完整性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1AE000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100% 完整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48B09A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41BD5AB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8FAE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832" w:type="dxa"/>
            <w:shd w:val="clear" w:color="auto" w:fill="auto"/>
            <w:vAlign w:val="center"/>
          </w:tcPr>
          <w:p w14:paraId="1F51B5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合法值/编码体系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2ABC3B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与统一字段规范一致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69DEBC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540EAB4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F0751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832" w:type="dxa"/>
            <w:shd w:val="clear" w:color="auto" w:fill="auto"/>
            <w:vAlign w:val="center"/>
          </w:tcPr>
          <w:p w14:paraId="6FB6B8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版本控制</w:t>
            </w:r>
          </w:p>
        </w:tc>
        <w:tc>
          <w:tcPr>
            <w:tcW w:w="3367" w:type="dxa"/>
            <w:shd w:val="clear" w:color="auto" w:fill="auto"/>
            <w:vAlign w:val="center"/>
          </w:tcPr>
          <w:p w14:paraId="5E6179A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v1.0 / v1.1</w:t>
            </w:r>
          </w:p>
        </w:tc>
        <w:tc>
          <w:tcPr>
            <w:tcW w:w="1556" w:type="dxa"/>
            <w:shd w:val="clear" w:color="auto" w:fill="auto"/>
            <w:vAlign w:val="center"/>
          </w:tcPr>
          <w:p w14:paraId="7C9C9CB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42" w:type="dxa"/>
            <w:shd w:val="clear" w:color="auto" w:fill="auto"/>
            <w:vAlign w:val="center"/>
          </w:tcPr>
          <w:p w14:paraId="7C5A7A7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034F5C3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4. 论文前置化（Protocol-driven Manuscript Architecture）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64"/>
        <w:gridCol w:w="3243"/>
        <w:gridCol w:w="1437"/>
        <w:gridCol w:w="803"/>
      </w:tblGrid>
      <w:tr w14:paraId="4B2C0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219" w:type="dxa"/>
            <w:shd w:val="clear" w:color="auto" w:fill="auto"/>
            <w:vAlign w:val="center"/>
          </w:tcPr>
          <w:p w14:paraId="7F6C8E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2E3716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要求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037074A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完成情况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0C38E3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证据</w:t>
            </w:r>
          </w:p>
        </w:tc>
      </w:tr>
      <w:tr w14:paraId="52B3B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219" w:type="dxa"/>
            <w:shd w:val="clear" w:color="auto" w:fill="auto"/>
            <w:vAlign w:val="center"/>
          </w:tcPr>
          <w:p w14:paraId="4C4F21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Manuscript Skeleton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40BC40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已生成预排版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6763002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656413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14AE84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219" w:type="dxa"/>
            <w:shd w:val="clear" w:color="auto" w:fill="auto"/>
            <w:vAlign w:val="center"/>
          </w:tcPr>
          <w:p w14:paraId="064DB2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Table Shells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420439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已生成并与 SAP 对齐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10CB2D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713DC6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C3A1F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219" w:type="dxa"/>
            <w:shd w:val="clear" w:color="auto" w:fill="auto"/>
            <w:vAlign w:val="center"/>
          </w:tcPr>
          <w:p w14:paraId="222466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预收集结果</w:t>
            </w:r>
          </w:p>
        </w:tc>
        <w:tc>
          <w:tcPr>
            <w:tcW w:w="3213" w:type="dxa"/>
            <w:shd w:val="clear" w:color="auto" w:fill="auto"/>
            <w:vAlign w:val="center"/>
          </w:tcPr>
          <w:p w14:paraId="6F5A2B4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已填 20–30% 占位符</w:t>
            </w:r>
          </w:p>
        </w:tc>
        <w:tc>
          <w:tcPr>
            <w:tcW w:w="1407" w:type="dxa"/>
            <w:shd w:val="clear" w:color="auto" w:fill="auto"/>
            <w:vAlign w:val="center"/>
          </w:tcPr>
          <w:p w14:paraId="3A9865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758" w:type="dxa"/>
            <w:shd w:val="clear" w:color="auto" w:fill="auto"/>
            <w:vAlign w:val="center"/>
          </w:tcPr>
          <w:p w14:paraId="1D2F44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0AF9C817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5. 专利前置化（Early-stage IP Mapping）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86"/>
        <w:gridCol w:w="2217"/>
        <w:gridCol w:w="2392"/>
        <w:gridCol w:w="852"/>
      </w:tblGrid>
      <w:tr w14:paraId="27050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5EBF61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2EEF35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要求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4BC9E4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完成情况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15217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715D2F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68FB8D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技术拆解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54DF2A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完成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644786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265485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16DB1F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0CBBBC4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Patent Landscaping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66D8C4D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完成首轮检索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6CFEB4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5739A5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7FF94F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0256CE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发明点矩阵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138AB47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明确3–6点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4F7AC2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0BF02F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AFB1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241" w:type="dxa"/>
            <w:shd w:val="clear" w:color="auto" w:fill="auto"/>
            <w:vAlign w:val="center"/>
          </w:tcPr>
          <w:p w14:paraId="1858407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初稿专利</w:t>
            </w:r>
          </w:p>
        </w:tc>
        <w:tc>
          <w:tcPr>
            <w:tcW w:w="2187" w:type="dxa"/>
            <w:shd w:val="clear" w:color="auto" w:fill="auto"/>
            <w:vAlign w:val="center"/>
          </w:tcPr>
          <w:p w14:paraId="536019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至少 1 件</w:t>
            </w:r>
          </w:p>
        </w:tc>
        <w:tc>
          <w:tcPr>
            <w:tcW w:w="2362" w:type="dxa"/>
            <w:shd w:val="clear" w:color="auto" w:fill="auto"/>
            <w:vAlign w:val="center"/>
          </w:tcPr>
          <w:p w14:paraId="0C733E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完成 / 未完成</w:t>
            </w:r>
          </w:p>
        </w:tc>
        <w:tc>
          <w:tcPr>
            <w:tcW w:w="807" w:type="dxa"/>
            <w:shd w:val="clear" w:color="auto" w:fill="auto"/>
            <w:vAlign w:val="center"/>
          </w:tcPr>
          <w:p w14:paraId="1067206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6DE768F0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三、研究执行进展</w:t>
      </w:r>
    </w:p>
    <w:p w14:paraId="32BB742D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入组进度（RWS / RCT）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31"/>
        <w:gridCol w:w="1999"/>
        <w:gridCol w:w="1999"/>
        <w:gridCol w:w="2718"/>
      </w:tblGrid>
      <w:tr w14:paraId="27FD8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7FA122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计划入组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409A4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实际入组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3EFD8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完成比例</w:t>
            </w:r>
          </w:p>
        </w:tc>
        <w:tc>
          <w:tcPr>
            <w:tcW w:w="2673" w:type="dxa"/>
            <w:shd w:val="clear" w:color="auto" w:fill="auto"/>
            <w:vAlign w:val="center"/>
          </w:tcPr>
          <w:p w14:paraId="47E2D2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进度评价</w:t>
            </w:r>
          </w:p>
        </w:tc>
      </w:tr>
      <w:tr w14:paraId="5A832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86" w:type="dxa"/>
            <w:shd w:val="clear" w:color="auto" w:fill="auto"/>
            <w:vAlign w:val="center"/>
          </w:tcPr>
          <w:p w14:paraId="7EBD45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41B479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13B0BB3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673" w:type="dxa"/>
            <w:shd w:val="clear" w:color="auto" w:fill="auto"/>
            <w:vAlign w:val="center"/>
          </w:tcPr>
          <w:p w14:paraId="76DABEA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正常 / 延迟</w:t>
            </w:r>
          </w:p>
        </w:tc>
      </w:tr>
    </w:tbl>
    <w:p w14:paraId="49F66C1F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工程研发进度（工程项目）</w:t>
      </w:r>
    </w:p>
    <w:tbl>
      <w:tblPr>
        <w:tblStyle w:val="33"/>
        <w:tblW w:w="872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63"/>
        <w:gridCol w:w="2129"/>
        <w:gridCol w:w="2129"/>
        <w:gridCol w:w="1135"/>
        <w:gridCol w:w="1171"/>
      </w:tblGrid>
      <w:tr w14:paraId="6D6CD6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118" w:type="dxa"/>
            <w:shd w:val="clear" w:color="auto" w:fill="auto"/>
            <w:vAlign w:val="center"/>
          </w:tcPr>
          <w:p w14:paraId="7480DAB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模块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0AB0F13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计划进度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2BA1BEB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实际完成</w:t>
            </w:r>
          </w:p>
        </w:tc>
        <w:tc>
          <w:tcPr>
            <w:tcW w:w="1105" w:type="dxa"/>
            <w:shd w:val="clear" w:color="auto" w:fill="auto"/>
            <w:vAlign w:val="center"/>
          </w:tcPr>
          <w:p w14:paraId="7C7780F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偏差</w:t>
            </w:r>
          </w:p>
        </w:tc>
        <w:tc>
          <w:tcPr>
            <w:tcW w:w="1126" w:type="dxa"/>
            <w:shd w:val="clear" w:color="auto" w:fill="auto"/>
            <w:vAlign w:val="center"/>
          </w:tcPr>
          <w:p w14:paraId="43860DA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05ADE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18" w:type="dxa"/>
            <w:shd w:val="clear" w:color="auto" w:fill="auto"/>
            <w:vAlign w:val="center"/>
          </w:tcPr>
          <w:p w14:paraId="39C8D0F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机械结构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091A3C7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4E906EC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3B473F2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F50250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52C92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18" w:type="dxa"/>
            <w:shd w:val="clear" w:color="auto" w:fill="auto"/>
            <w:vAlign w:val="center"/>
          </w:tcPr>
          <w:p w14:paraId="1504E38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控制系统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13AD1B4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0A9578B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70E5C7A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3F0E8E9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4F0CA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18" w:type="dxa"/>
            <w:shd w:val="clear" w:color="auto" w:fill="auto"/>
            <w:vAlign w:val="center"/>
          </w:tcPr>
          <w:p w14:paraId="5526869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功能验证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0AA242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099" w:type="dxa"/>
            <w:shd w:val="clear" w:color="auto" w:fill="auto"/>
            <w:vAlign w:val="center"/>
          </w:tcPr>
          <w:p w14:paraId="493EEB4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105" w:type="dxa"/>
            <w:shd w:val="clear" w:color="auto" w:fill="auto"/>
            <w:vAlign w:val="center"/>
          </w:tcPr>
          <w:p w14:paraId="3302918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126" w:type="dxa"/>
            <w:shd w:val="clear" w:color="auto" w:fill="auto"/>
            <w:vAlign w:val="center"/>
          </w:tcPr>
          <w:p w14:paraId="5274A34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2AB0816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 AI 模型开发进度（AI 项目）</w:t>
      </w:r>
    </w:p>
    <w:tbl>
      <w:tblPr>
        <w:tblStyle w:val="33"/>
        <w:tblW w:w="872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87"/>
        <w:gridCol w:w="2447"/>
        <w:gridCol w:w="2447"/>
        <w:gridCol w:w="1346"/>
      </w:tblGrid>
      <w:tr w14:paraId="5B9054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442" w:type="dxa"/>
            <w:shd w:val="clear" w:color="auto" w:fill="auto"/>
            <w:vAlign w:val="center"/>
          </w:tcPr>
          <w:p w14:paraId="4ED2A9C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阶段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34DD1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计划完成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5E85DA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实际进度</w:t>
            </w:r>
          </w:p>
        </w:tc>
        <w:tc>
          <w:tcPr>
            <w:tcW w:w="1301" w:type="dxa"/>
            <w:shd w:val="clear" w:color="auto" w:fill="auto"/>
            <w:vAlign w:val="center"/>
          </w:tcPr>
          <w:p w14:paraId="1D06C8D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742F5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42" w:type="dxa"/>
            <w:shd w:val="clear" w:color="auto" w:fill="auto"/>
            <w:vAlign w:val="center"/>
          </w:tcPr>
          <w:p w14:paraId="24F586E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数据清洗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545A5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14:paraId="410F4A5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615CE3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79A75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42" w:type="dxa"/>
            <w:shd w:val="clear" w:color="auto" w:fill="auto"/>
            <w:vAlign w:val="center"/>
          </w:tcPr>
          <w:p w14:paraId="483492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标注阶段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0EBCDF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14:paraId="0F350E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6BEC66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CD18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42" w:type="dxa"/>
            <w:shd w:val="clear" w:color="auto" w:fill="auto"/>
            <w:vAlign w:val="center"/>
          </w:tcPr>
          <w:p w14:paraId="493021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模型训练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3775A1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14:paraId="5D5B6B0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4C5004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3376F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42" w:type="dxa"/>
            <w:shd w:val="clear" w:color="auto" w:fill="auto"/>
            <w:vAlign w:val="center"/>
          </w:tcPr>
          <w:p w14:paraId="1059770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性能评估</w:t>
            </w:r>
          </w:p>
        </w:tc>
        <w:tc>
          <w:tcPr>
            <w:tcW w:w="2417" w:type="dxa"/>
            <w:shd w:val="clear" w:color="auto" w:fill="auto"/>
            <w:vAlign w:val="center"/>
          </w:tcPr>
          <w:p w14:paraId="6E2D18A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417" w:type="dxa"/>
            <w:shd w:val="clear" w:color="auto" w:fill="auto"/>
            <w:vAlign w:val="center"/>
          </w:tcPr>
          <w:p w14:paraId="0E5B57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301" w:type="dxa"/>
            <w:shd w:val="clear" w:color="auto" w:fill="auto"/>
            <w:vAlign w:val="center"/>
          </w:tcPr>
          <w:p w14:paraId="06CF1F1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68D1FBD0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四、预算执行情况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840"/>
        <w:gridCol w:w="1627"/>
        <w:gridCol w:w="1999"/>
        <w:gridCol w:w="1627"/>
        <w:gridCol w:w="1654"/>
      </w:tblGrid>
      <w:tr w14:paraId="6BF79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5D9A17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经费类别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4C8B49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预算金额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11772F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已使用金额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621126F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使用比例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13843A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偏差分析</w:t>
            </w:r>
          </w:p>
        </w:tc>
      </w:tr>
      <w:tr w14:paraId="70DF4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6DA14E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设备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128A75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7CCA21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14:paraId="205ECC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6404D0B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30CC9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068991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材料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5A1A49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56F902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14:paraId="0AD8A75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2A53075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542D6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21A41D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劳务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287690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088F29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14:paraId="7224D98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4BF5EF2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5468E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795" w:type="dxa"/>
            <w:shd w:val="clear" w:color="auto" w:fill="auto"/>
            <w:vAlign w:val="center"/>
          </w:tcPr>
          <w:p w14:paraId="33F8329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软件/平台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4BA949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969" w:type="dxa"/>
            <w:shd w:val="clear" w:color="auto" w:fill="auto"/>
            <w:vAlign w:val="center"/>
          </w:tcPr>
          <w:p w14:paraId="59C8F3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14:paraId="6B305D2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609" w:type="dxa"/>
            <w:shd w:val="clear" w:color="auto" w:fill="auto"/>
            <w:vAlign w:val="center"/>
          </w:tcPr>
          <w:p w14:paraId="4D5B36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5227A642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五、数据质量控制（DQC）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152"/>
        <w:gridCol w:w="2518"/>
        <w:gridCol w:w="1729"/>
        <w:gridCol w:w="2348"/>
      </w:tblGrid>
      <w:tr w14:paraId="00EC7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107" w:type="dxa"/>
            <w:shd w:val="clear" w:color="auto" w:fill="auto"/>
            <w:vAlign w:val="center"/>
          </w:tcPr>
          <w:p w14:paraId="6566F5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2488" w:type="dxa"/>
            <w:shd w:val="clear" w:color="auto" w:fill="auto"/>
            <w:vAlign w:val="center"/>
          </w:tcPr>
          <w:p w14:paraId="6F83199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要求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8BB0DF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实际情况</w:t>
            </w:r>
          </w:p>
        </w:tc>
        <w:tc>
          <w:tcPr>
            <w:tcW w:w="2303" w:type="dxa"/>
            <w:shd w:val="clear" w:color="auto" w:fill="auto"/>
            <w:vAlign w:val="center"/>
          </w:tcPr>
          <w:p w14:paraId="54FBCD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52554E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07" w:type="dxa"/>
            <w:shd w:val="clear" w:color="auto" w:fill="auto"/>
            <w:vAlign w:val="center"/>
          </w:tcPr>
          <w:p w14:paraId="65270B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完整性</w:t>
            </w:r>
          </w:p>
        </w:tc>
        <w:tc>
          <w:tcPr>
            <w:tcW w:w="2488" w:type="dxa"/>
            <w:shd w:val="clear" w:color="auto" w:fill="auto"/>
            <w:vAlign w:val="center"/>
          </w:tcPr>
          <w:p w14:paraId="2AA45B9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≥90%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157D21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5BEC7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良好/需整改</w:t>
            </w:r>
          </w:p>
        </w:tc>
      </w:tr>
      <w:tr w14:paraId="5B996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07" w:type="dxa"/>
            <w:shd w:val="clear" w:color="auto" w:fill="auto"/>
            <w:vAlign w:val="center"/>
          </w:tcPr>
          <w:p w14:paraId="6ACD7E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一致性</w:t>
            </w:r>
          </w:p>
        </w:tc>
        <w:tc>
          <w:tcPr>
            <w:tcW w:w="2488" w:type="dxa"/>
            <w:shd w:val="clear" w:color="auto" w:fill="auto"/>
            <w:vAlign w:val="center"/>
          </w:tcPr>
          <w:p w14:paraId="2D2B3B2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逻辑一致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1CE5F85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10FBEE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0967AE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07" w:type="dxa"/>
            <w:shd w:val="clear" w:color="auto" w:fill="auto"/>
            <w:vAlign w:val="center"/>
          </w:tcPr>
          <w:p w14:paraId="7D4CB78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异常值核查</w:t>
            </w:r>
          </w:p>
        </w:tc>
        <w:tc>
          <w:tcPr>
            <w:tcW w:w="2488" w:type="dxa"/>
            <w:shd w:val="clear" w:color="auto" w:fill="auto"/>
            <w:vAlign w:val="center"/>
          </w:tcPr>
          <w:p w14:paraId="7F2F3A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完成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4C492D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5F551A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7D265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07" w:type="dxa"/>
            <w:shd w:val="clear" w:color="auto" w:fill="auto"/>
            <w:vAlign w:val="center"/>
          </w:tcPr>
          <w:p w14:paraId="156CEF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随访数据</w:t>
            </w:r>
          </w:p>
        </w:tc>
        <w:tc>
          <w:tcPr>
            <w:tcW w:w="2488" w:type="dxa"/>
            <w:shd w:val="clear" w:color="auto" w:fill="auto"/>
            <w:vAlign w:val="center"/>
          </w:tcPr>
          <w:p w14:paraId="713AA7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完整率 ≥85%</w:t>
            </w:r>
          </w:p>
        </w:tc>
        <w:tc>
          <w:tcPr>
            <w:tcW w:w="1699" w:type="dxa"/>
            <w:shd w:val="clear" w:color="auto" w:fill="auto"/>
            <w:vAlign w:val="center"/>
          </w:tcPr>
          <w:p w14:paraId="579442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303" w:type="dxa"/>
            <w:shd w:val="clear" w:color="auto" w:fill="auto"/>
            <w:vAlign w:val="center"/>
          </w:tcPr>
          <w:p w14:paraId="55D779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465AA2F0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六、风险点与整改要求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609"/>
        <w:gridCol w:w="1749"/>
        <w:gridCol w:w="1423"/>
        <w:gridCol w:w="1423"/>
        <w:gridCol w:w="1098"/>
        <w:gridCol w:w="1445"/>
      </w:tblGrid>
      <w:tr w14:paraId="6A9E5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61CDB9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风险类别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7FB59B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发现的问题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2177A1B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风险等级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3D55E9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整改措施</w:t>
            </w:r>
          </w:p>
        </w:tc>
        <w:tc>
          <w:tcPr>
            <w:tcW w:w="1068" w:type="dxa"/>
            <w:shd w:val="clear" w:color="auto" w:fill="auto"/>
            <w:vAlign w:val="center"/>
          </w:tcPr>
          <w:p w14:paraId="1537879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责任人</w:t>
            </w:r>
          </w:p>
        </w:tc>
        <w:tc>
          <w:tcPr>
            <w:tcW w:w="1400" w:type="dxa"/>
            <w:shd w:val="clear" w:color="auto" w:fill="auto"/>
            <w:vAlign w:val="center"/>
          </w:tcPr>
          <w:p w14:paraId="1BBB44C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完成时间</w:t>
            </w:r>
          </w:p>
        </w:tc>
      </w:tr>
      <w:tr w14:paraId="598DB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0CEDA7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方案执行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4B5206E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7EF5155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高/中/低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7AE446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7572CC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4369F7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048B2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711F87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数据质量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61D8E5B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21BF78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高/中/低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E6700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370DF9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487281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76FF9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396573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入组/进度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4B3906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6F89197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高/中/低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0ADB6FD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52622E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65ADF5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77141F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564" w:type="dxa"/>
            <w:shd w:val="clear" w:color="auto" w:fill="auto"/>
            <w:vAlign w:val="center"/>
          </w:tcPr>
          <w:p w14:paraId="4EA391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研发偏差</w:t>
            </w:r>
          </w:p>
        </w:tc>
        <w:tc>
          <w:tcPr>
            <w:tcW w:w="1719" w:type="dxa"/>
            <w:shd w:val="clear" w:color="auto" w:fill="auto"/>
            <w:vAlign w:val="center"/>
          </w:tcPr>
          <w:p w14:paraId="49485D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393" w:type="dxa"/>
            <w:shd w:val="clear" w:color="auto" w:fill="auto"/>
            <w:vAlign w:val="center"/>
          </w:tcPr>
          <w:p w14:paraId="01953A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高/中/低</w:t>
            </w:r>
          </w:p>
        </w:tc>
        <w:tc>
          <w:tcPr>
            <w:tcW w:w="1393" w:type="dxa"/>
            <w:shd w:val="clear" w:color="auto" w:fill="auto"/>
            <w:vAlign w:val="center"/>
          </w:tcPr>
          <w:p w14:paraId="57450F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68" w:type="dxa"/>
            <w:shd w:val="clear" w:color="auto" w:fill="auto"/>
            <w:vAlign w:val="center"/>
          </w:tcPr>
          <w:p w14:paraId="66B843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400" w:type="dxa"/>
            <w:shd w:val="clear" w:color="auto" w:fill="auto"/>
            <w:vAlign w:val="center"/>
          </w:tcPr>
          <w:p w14:paraId="062E24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53B83602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七、综合评价（由学科带头人/管理办公室填写）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52"/>
        <w:gridCol w:w="5595"/>
      </w:tblGrid>
      <w:tr w14:paraId="5E75F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107" w:type="dxa"/>
            <w:shd w:val="clear" w:color="auto" w:fill="auto"/>
            <w:vAlign w:val="center"/>
          </w:tcPr>
          <w:p w14:paraId="11BDA48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维度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28EABB3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251B9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07" w:type="dxa"/>
            <w:shd w:val="clear" w:color="auto" w:fill="auto"/>
            <w:vAlign w:val="center"/>
          </w:tcPr>
          <w:p w14:paraId="0E939C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进度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31D93C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正常 / 延迟 / 严重延迟</w:t>
            </w:r>
          </w:p>
        </w:tc>
      </w:tr>
      <w:tr w14:paraId="64D1A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07" w:type="dxa"/>
            <w:shd w:val="clear" w:color="auto" w:fill="auto"/>
            <w:vAlign w:val="center"/>
          </w:tcPr>
          <w:p w14:paraId="3A62BD7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质量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7DFF60B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高 / 中 / 需改进</w:t>
            </w:r>
          </w:p>
        </w:tc>
      </w:tr>
      <w:tr w14:paraId="3339D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07" w:type="dxa"/>
            <w:shd w:val="clear" w:color="auto" w:fill="auto"/>
            <w:vAlign w:val="center"/>
          </w:tcPr>
          <w:p w14:paraId="4EF10D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可持续性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1B855C3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好 / 中等 / 差</w:t>
            </w:r>
          </w:p>
        </w:tc>
      </w:tr>
      <w:tr w14:paraId="14EB1F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07" w:type="dxa"/>
            <w:shd w:val="clear" w:color="auto" w:fill="auto"/>
            <w:vAlign w:val="center"/>
          </w:tcPr>
          <w:p w14:paraId="200EB0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后续支持建议</w:t>
            </w:r>
          </w:p>
        </w:tc>
        <w:tc>
          <w:tcPr>
            <w:tcW w:w="5550" w:type="dxa"/>
            <w:shd w:val="clear" w:color="auto" w:fill="auto"/>
            <w:vAlign w:val="center"/>
          </w:tcPr>
          <w:p w14:paraId="53CACE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57A8F996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最终建议：继续 / 调整 / 暂停 / 终止</w:t>
      </w:r>
    </w:p>
    <w:p w14:paraId="7C6A2EDF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评估人：________________ 日期：__________</w:t>
      </w:r>
    </w:p>
    <w:p w14:paraId="79EE7B44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附件11 </w:t>
      </w:r>
      <w:r>
        <w:rPr>
          <w:rFonts w:hint="eastAsia" w:ascii="黑体" w:hAnsi="黑体" w:eastAsia="黑体" w:cs="黑体"/>
        </w:rPr>
        <w:t>结题验收表格</w:t>
      </w:r>
    </w:p>
    <w:p w14:paraId="4C7CAC57">
      <w:pPr>
        <w:pStyle w:val="30"/>
        <w:keepNext w:val="0"/>
        <w:keepLines w:val="0"/>
        <w:widowControl/>
        <w:suppressLineNumbers w:val="0"/>
        <w:ind w:firstLine="420" w:firstLineChars="20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用于项目最终阶段的系统性验收，覆盖：进度、数据质量、四前置化成果、科研产出、专利产出、经费执行及可持续性评估。</w:t>
      </w:r>
    </w:p>
    <w:p w14:paraId="6D9DF324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一、项目基本信息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35"/>
        <w:gridCol w:w="5212"/>
      </w:tblGrid>
      <w:tr w14:paraId="053C1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490" w:type="dxa"/>
            <w:shd w:val="clear" w:color="auto" w:fill="auto"/>
            <w:vAlign w:val="center"/>
          </w:tcPr>
          <w:p w14:paraId="1041D0D2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项目名称</w:t>
            </w:r>
          </w:p>
        </w:tc>
        <w:tc>
          <w:tcPr>
            <w:tcW w:w="5167" w:type="dxa"/>
            <w:shd w:val="clear" w:color="auto" w:fill="auto"/>
            <w:vAlign w:val="center"/>
          </w:tcPr>
          <w:p w14:paraId="5B582024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3F6901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490" w:type="dxa"/>
            <w:shd w:val="clear" w:color="auto" w:fill="auto"/>
            <w:vAlign w:val="center"/>
          </w:tcPr>
          <w:p w14:paraId="4A268854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批准编号</w:t>
            </w:r>
          </w:p>
        </w:tc>
        <w:tc>
          <w:tcPr>
            <w:tcW w:w="5167" w:type="dxa"/>
            <w:shd w:val="clear" w:color="auto" w:fill="auto"/>
            <w:vAlign w:val="center"/>
          </w:tcPr>
          <w:p w14:paraId="33E0F613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0C747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490" w:type="dxa"/>
            <w:shd w:val="clear" w:color="auto" w:fill="auto"/>
            <w:vAlign w:val="center"/>
          </w:tcPr>
          <w:p w14:paraId="376071B7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主研人员（PI）</w:t>
            </w:r>
          </w:p>
        </w:tc>
        <w:tc>
          <w:tcPr>
            <w:tcW w:w="5167" w:type="dxa"/>
            <w:shd w:val="clear" w:color="auto" w:fill="auto"/>
            <w:vAlign w:val="center"/>
          </w:tcPr>
          <w:p w14:paraId="442CA365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5F250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490" w:type="dxa"/>
            <w:shd w:val="clear" w:color="auto" w:fill="auto"/>
            <w:vAlign w:val="center"/>
          </w:tcPr>
          <w:p w14:paraId="43173182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课题类型</w:t>
            </w:r>
          </w:p>
        </w:tc>
        <w:tc>
          <w:tcPr>
            <w:tcW w:w="5167" w:type="dxa"/>
            <w:shd w:val="clear" w:color="auto" w:fill="auto"/>
            <w:vAlign w:val="center"/>
          </w:tcPr>
          <w:p w14:paraId="672D6984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RWS / RCT / 工程 / AI</w:t>
            </w:r>
          </w:p>
        </w:tc>
      </w:tr>
      <w:tr w14:paraId="2FD70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490" w:type="dxa"/>
            <w:shd w:val="clear" w:color="auto" w:fill="auto"/>
            <w:vAlign w:val="center"/>
          </w:tcPr>
          <w:p w14:paraId="0F84FEA6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起止时间</w:t>
            </w:r>
          </w:p>
        </w:tc>
        <w:tc>
          <w:tcPr>
            <w:tcW w:w="5167" w:type="dxa"/>
            <w:shd w:val="clear" w:color="auto" w:fill="auto"/>
            <w:vAlign w:val="center"/>
          </w:tcPr>
          <w:p w14:paraId="4E683918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138B2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490" w:type="dxa"/>
            <w:shd w:val="clear" w:color="auto" w:fill="auto"/>
            <w:vAlign w:val="center"/>
          </w:tcPr>
          <w:p w14:paraId="17D0D917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验收日期</w:t>
            </w:r>
          </w:p>
        </w:tc>
        <w:tc>
          <w:tcPr>
            <w:tcW w:w="5167" w:type="dxa"/>
            <w:shd w:val="clear" w:color="auto" w:fill="auto"/>
            <w:vAlign w:val="center"/>
          </w:tcPr>
          <w:p w14:paraId="4E7AE55D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22958EAF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二、研究方案（Protocol）执行情况</w:t>
      </w:r>
    </w:p>
    <w:tbl>
      <w:tblPr>
        <w:tblStyle w:val="33"/>
        <w:tblW w:w="8856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550"/>
        <w:gridCol w:w="2148"/>
        <w:gridCol w:w="1122"/>
        <w:gridCol w:w="1217"/>
        <w:gridCol w:w="1819"/>
      </w:tblGrid>
      <w:tr w14:paraId="500884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505" w:type="dxa"/>
            <w:shd w:val="clear" w:color="auto" w:fill="auto"/>
            <w:vAlign w:val="center"/>
          </w:tcPr>
          <w:p w14:paraId="2AF4467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07C2A9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验收要求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031FF5E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实际情况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3AFA9C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证据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6A5A71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0A450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05" w:type="dxa"/>
            <w:shd w:val="clear" w:color="auto" w:fill="auto"/>
            <w:vAlign w:val="center"/>
          </w:tcPr>
          <w:p w14:paraId="67864F4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Protocol 执行一致性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79C8D0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无重大偏离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48368B4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2583E62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偏离记录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157AA1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合格 / 不合格</w:t>
            </w:r>
          </w:p>
        </w:tc>
      </w:tr>
      <w:tr w14:paraId="369DD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05" w:type="dxa"/>
            <w:shd w:val="clear" w:color="auto" w:fill="auto"/>
            <w:vAlign w:val="center"/>
          </w:tcPr>
          <w:p w14:paraId="7870158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方案更新情况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5D5F23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有版本控制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7E1B86B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4EDC8A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版本记录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2EFDBB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5C96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505" w:type="dxa"/>
            <w:shd w:val="clear" w:color="auto" w:fill="auto"/>
            <w:vAlign w:val="center"/>
          </w:tcPr>
          <w:p w14:paraId="35324FF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研究注册合规</w:t>
            </w:r>
          </w:p>
        </w:tc>
        <w:tc>
          <w:tcPr>
            <w:tcW w:w="2118" w:type="dxa"/>
            <w:shd w:val="clear" w:color="auto" w:fill="auto"/>
            <w:vAlign w:val="center"/>
          </w:tcPr>
          <w:p w14:paraId="318481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已注册（如适用）</w:t>
            </w:r>
          </w:p>
        </w:tc>
        <w:tc>
          <w:tcPr>
            <w:tcW w:w="1092" w:type="dxa"/>
            <w:shd w:val="clear" w:color="auto" w:fill="auto"/>
            <w:vAlign w:val="center"/>
          </w:tcPr>
          <w:p w14:paraId="076FAE3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1187" w:type="dxa"/>
            <w:shd w:val="clear" w:color="auto" w:fill="auto"/>
            <w:vAlign w:val="center"/>
          </w:tcPr>
          <w:p w14:paraId="314664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注册号</w:t>
            </w:r>
          </w:p>
        </w:tc>
        <w:tc>
          <w:tcPr>
            <w:tcW w:w="1774" w:type="dxa"/>
            <w:shd w:val="clear" w:color="auto" w:fill="auto"/>
            <w:vAlign w:val="center"/>
          </w:tcPr>
          <w:p w14:paraId="4BE3CF6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505F7B74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三、CRF 与数据字典完成情况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91"/>
        <w:gridCol w:w="2472"/>
        <w:gridCol w:w="1460"/>
        <w:gridCol w:w="2324"/>
      </w:tblGrid>
      <w:tr w14:paraId="5E574C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607420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133B5D9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验收要求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110574F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完成情况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4C5FC8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11947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5B8629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CRF 填报完整性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623D03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≥95%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910546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7F66856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合格 / 需整改</w:t>
            </w:r>
          </w:p>
        </w:tc>
      </w:tr>
      <w:tr w14:paraId="22A30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156260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数据字典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018D112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全字段定义完整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44501B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0DB5C9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9DE4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446" w:type="dxa"/>
            <w:shd w:val="clear" w:color="auto" w:fill="auto"/>
            <w:vAlign w:val="center"/>
          </w:tcPr>
          <w:p w14:paraId="3E1222D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CRF-数据库映射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1B9EDCB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完整、一致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9BEB7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2279" w:type="dxa"/>
            <w:shd w:val="clear" w:color="auto" w:fill="auto"/>
            <w:vAlign w:val="center"/>
          </w:tcPr>
          <w:p w14:paraId="700AD8E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0E64F437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四、数据质量控制（DQC）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713"/>
        <w:gridCol w:w="2227"/>
        <w:gridCol w:w="1808"/>
        <w:gridCol w:w="999"/>
      </w:tblGrid>
      <w:tr w14:paraId="0A99F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668" w:type="dxa"/>
            <w:shd w:val="clear" w:color="auto" w:fill="auto"/>
            <w:vAlign w:val="center"/>
          </w:tcPr>
          <w:p w14:paraId="790348E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1E9C2B4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要求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96F9C1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实际情况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502F9D6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0CB06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68" w:type="dxa"/>
            <w:shd w:val="clear" w:color="auto" w:fill="auto"/>
            <w:vAlign w:val="center"/>
          </w:tcPr>
          <w:p w14:paraId="2EE8BDC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完整性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5A4370C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≥95%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1BB4278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4F85EEC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1FA886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68" w:type="dxa"/>
            <w:shd w:val="clear" w:color="auto" w:fill="auto"/>
            <w:vAlign w:val="center"/>
          </w:tcPr>
          <w:p w14:paraId="266BAB2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合法性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4E25038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全部通过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300DD9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7B0F2A8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1FDB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68" w:type="dxa"/>
            <w:shd w:val="clear" w:color="auto" w:fill="auto"/>
            <w:vAlign w:val="center"/>
          </w:tcPr>
          <w:p w14:paraId="010A9EC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逻辑一致性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100AFC8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无重大冲突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6CFB15F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1B6C65F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7CB3C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68" w:type="dxa"/>
            <w:shd w:val="clear" w:color="auto" w:fill="auto"/>
            <w:vAlign w:val="center"/>
          </w:tcPr>
          <w:p w14:paraId="56AD879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异常值处理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4518AAD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已处理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EE5A80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50D4524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7F570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68" w:type="dxa"/>
            <w:shd w:val="clear" w:color="auto" w:fill="auto"/>
            <w:vAlign w:val="center"/>
          </w:tcPr>
          <w:p w14:paraId="4E1B34A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随访完整性（RWS）</w:t>
            </w:r>
          </w:p>
        </w:tc>
        <w:tc>
          <w:tcPr>
            <w:tcW w:w="2197" w:type="dxa"/>
            <w:shd w:val="clear" w:color="auto" w:fill="auto"/>
            <w:vAlign w:val="center"/>
          </w:tcPr>
          <w:p w14:paraId="367BF96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≥90%</w:t>
            </w:r>
          </w:p>
        </w:tc>
        <w:tc>
          <w:tcPr>
            <w:tcW w:w="1778" w:type="dxa"/>
            <w:shd w:val="clear" w:color="auto" w:fill="auto"/>
            <w:vAlign w:val="center"/>
          </w:tcPr>
          <w:p w14:paraId="722EB55A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%</w:t>
            </w:r>
          </w:p>
        </w:tc>
        <w:tc>
          <w:tcPr>
            <w:tcW w:w="954" w:type="dxa"/>
            <w:shd w:val="clear" w:color="auto" w:fill="auto"/>
            <w:vAlign w:val="center"/>
          </w:tcPr>
          <w:p w14:paraId="6BD4456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133F1D84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五、终点（Endpoints）达成评估</w:t>
      </w:r>
    </w:p>
    <w:p w14:paraId="1E08899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主要终点完成情况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81"/>
        <w:gridCol w:w="2528"/>
        <w:gridCol w:w="3004"/>
        <w:gridCol w:w="1134"/>
      </w:tblGrid>
      <w:tr w14:paraId="1027D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036" w:type="dxa"/>
            <w:shd w:val="clear" w:color="auto" w:fill="auto"/>
            <w:vAlign w:val="center"/>
          </w:tcPr>
          <w:p w14:paraId="2CD1EB0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主要终点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7910DC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原计划定义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3B1FE9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实际完成情况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45A77A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46C79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036" w:type="dxa"/>
            <w:shd w:val="clear" w:color="auto" w:fill="auto"/>
            <w:vAlign w:val="center"/>
          </w:tcPr>
          <w:p w14:paraId="5659C23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498" w:type="dxa"/>
            <w:shd w:val="clear" w:color="auto" w:fill="auto"/>
            <w:vAlign w:val="center"/>
          </w:tcPr>
          <w:p w14:paraId="0C8ACBB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974" w:type="dxa"/>
            <w:shd w:val="clear" w:color="auto" w:fill="auto"/>
            <w:vAlign w:val="center"/>
          </w:tcPr>
          <w:p w14:paraId="7C4B12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4B4A197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50CAE45B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次要终点完成情况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81"/>
        <w:gridCol w:w="2528"/>
        <w:gridCol w:w="3004"/>
        <w:gridCol w:w="1134"/>
      </w:tblGrid>
      <w:tr w14:paraId="22AC8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036" w:type="dxa"/>
            <w:shd w:val="clear" w:color="auto" w:fill="auto"/>
            <w:vAlign w:val="center"/>
          </w:tcPr>
          <w:p w14:paraId="625248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次要终点</w:t>
            </w:r>
          </w:p>
        </w:tc>
        <w:tc>
          <w:tcPr>
            <w:tcW w:w="2498" w:type="dxa"/>
            <w:shd w:val="clear" w:color="auto" w:fill="auto"/>
            <w:vAlign w:val="center"/>
          </w:tcPr>
          <w:p w14:paraId="43FA3E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原计划定义</w:t>
            </w:r>
          </w:p>
        </w:tc>
        <w:tc>
          <w:tcPr>
            <w:tcW w:w="2974" w:type="dxa"/>
            <w:shd w:val="clear" w:color="auto" w:fill="auto"/>
            <w:vAlign w:val="center"/>
          </w:tcPr>
          <w:p w14:paraId="091CFA1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实际完成情况</w:t>
            </w:r>
          </w:p>
        </w:tc>
        <w:tc>
          <w:tcPr>
            <w:tcW w:w="1089" w:type="dxa"/>
            <w:shd w:val="clear" w:color="auto" w:fill="auto"/>
            <w:vAlign w:val="center"/>
          </w:tcPr>
          <w:p w14:paraId="35272E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78B1B3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036" w:type="dxa"/>
            <w:shd w:val="clear" w:color="auto" w:fill="auto"/>
            <w:vAlign w:val="center"/>
          </w:tcPr>
          <w:p w14:paraId="765FC9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498" w:type="dxa"/>
            <w:shd w:val="clear" w:color="auto" w:fill="auto"/>
            <w:vAlign w:val="center"/>
          </w:tcPr>
          <w:p w14:paraId="2F23B8B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974" w:type="dxa"/>
            <w:shd w:val="clear" w:color="auto" w:fill="auto"/>
            <w:vAlign w:val="center"/>
          </w:tcPr>
          <w:p w14:paraId="3A69DB5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089" w:type="dxa"/>
            <w:shd w:val="clear" w:color="auto" w:fill="auto"/>
            <w:vAlign w:val="center"/>
          </w:tcPr>
          <w:p w14:paraId="227BA99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32D2991D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六、科研产出验收（论文/专利/数据库/算法等）</w:t>
      </w:r>
    </w:p>
    <w:p w14:paraId="76FE0169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论文产出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78"/>
        <w:gridCol w:w="1627"/>
        <w:gridCol w:w="1627"/>
        <w:gridCol w:w="1816"/>
        <w:gridCol w:w="899"/>
      </w:tblGrid>
      <w:tr w14:paraId="59A8F6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733" w:type="dxa"/>
            <w:shd w:val="clear" w:color="auto" w:fill="auto"/>
            <w:vAlign w:val="center"/>
          </w:tcPr>
          <w:p w14:paraId="42B0915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类型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164D6CC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目标数量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155FCB0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实际数量</w:t>
            </w:r>
          </w:p>
        </w:tc>
        <w:tc>
          <w:tcPr>
            <w:tcW w:w="1786" w:type="dxa"/>
            <w:shd w:val="clear" w:color="auto" w:fill="auto"/>
            <w:vAlign w:val="center"/>
          </w:tcPr>
          <w:p w14:paraId="6663159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期刊/会议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AA0D7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6C61F6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33" w:type="dxa"/>
            <w:shd w:val="clear" w:color="auto" w:fill="auto"/>
            <w:vAlign w:val="center"/>
          </w:tcPr>
          <w:p w14:paraId="5B6420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SCI / 核心论文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1B5384B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14:paraId="505638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683279C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6DBD19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04E30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33" w:type="dxa"/>
            <w:shd w:val="clear" w:color="auto" w:fill="auto"/>
            <w:vAlign w:val="center"/>
          </w:tcPr>
          <w:p w14:paraId="07C269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综述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2FCB93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14:paraId="6DEDFD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7015FB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6251196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468A88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33" w:type="dxa"/>
            <w:shd w:val="clear" w:color="auto" w:fill="auto"/>
            <w:vAlign w:val="center"/>
          </w:tcPr>
          <w:p w14:paraId="000AFC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会议摘要</w:t>
            </w:r>
          </w:p>
        </w:tc>
        <w:tc>
          <w:tcPr>
            <w:tcW w:w="1597" w:type="dxa"/>
            <w:shd w:val="clear" w:color="auto" w:fill="auto"/>
            <w:vAlign w:val="center"/>
          </w:tcPr>
          <w:p w14:paraId="1516E5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97" w:type="dxa"/>
            <w:shd w:val="clear" w:color="auto" w:fill="auto"/>
            <w:vAlign w:val="center"/>
          </w:tcPr>
          <w:p w14:paraId="672711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786" w:type="dxa"/>
            <w:shd w:val="clear" w:color="auto" w:fill="auto"/>
            <w:vAlign w:val="center"/>
          </w:tcPr>
          <w:p w14:paraId="55A0213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54" w:type="dxa"/>
            <w:shd w:val="clear" w:color="auto" w:fill="auto"/>
            <w:vAlign w:val="center"/>
          </w:tcPr>
          <w:p w14:paraId="69596C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58D4C4BA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专利产出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217"/>
        <w:gridCol w:w="1987"/>
        <w:gridCol w:w="1780"/>
        <w:gridCol w:w="1780"/>
        <w:gridCol w:w="983"/>
      </w:tblGrid>
      <w:tr w14:paraId="79B19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172" w:type="dxa"/>
            <w:shd w:val="clear" w:color="auto" w:fill="auto"/>
            <w:vAlign w:val="center"/>
          </w:tcPr>
          <w:p w14:paraId="6D016A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专利方向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4B0EF7D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类型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0EB6F26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申请数量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286E0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授权数量</w:t>
            </w:r>
          </w:p>
        </w:tc>
        <w:tc>
          <w:tcPr>
            <w:tcW w:w="938" w:type="dxa"/>
            <w:shd w:val="clear" w:color="auto" w:fill="auto"/>
            <w:vAlign w:val="center"/>
          </w:tcPr>
          <w:p w14:paraId="014BFA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77973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72" w:type="dxa"/>
            <w:shd w:val="clear" w:color="auto" w:fill="auto"/>
            <w:vAlign w:val="center"/>
          </w:tcPr>
          <w:p w14:paraId="0707BCE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结构类专利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5A2FB8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发明/实用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6CC84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2D67D34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1186880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41030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72" w:type="dxa"/>
            <w:shd w:val="clear" w:color="auto" w:fill="auto"/>
            <w:vAlign w:val="center"/>
          </w:tcPr>
          <w:p w14:paraId="7D3854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算法类专利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134D04F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发明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618F2C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5B03497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47D6C79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5A27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172" w:type="dxa"/>
            <w:shd w:val="clear" w:color="auto" w:fill="auto"/>
            <w:vAlign w:val="center"/>
          </w:tcPr>
          <w:p w14:paraId="44E7914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系统类专利</w:t>
            </w:r>
          </w:p>
        </w:tc>
        <w:tc>
          <w:tcPr>
            <w:tcW w:w="1957" w:type="dxa"/>
            <w:shd w:val="clear" w:color="auto" w:fill="auto"/>
            <w:vAlign w:val="center"/>
          </w:tcPr>
          <w:p w14:paraId="53E47B9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发明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370BBF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750" w:type="dxa"/>
            <w:shd w:val="clear" w:color="auto" w:fill="auto"/>
            <w:vAlign w:val="center"/>
          </w:tcPr>
          <w:p w14:paraId="780771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938" w:type="dxa"/>
            <w:shd w:val="clear" w:color="auto" w:fill="auto"/>
            <w:vAlign w:val="center"/>
          </w:tcPr>
          <w:p w14:paraId="636136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2FD00F72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 工程/AI 成果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90"/>
        <w:gridCol w:w="1616"/>
        <w:gridCol w:w="2549"/>
        <w:gridCol w:w="892"/>
      </w:tblGrid>
      <w:tr w14:paraId="4FC46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645" w:type="dxa"/>
            <w:shd w:val="clear" w:color="auto" w:fill="auto"/>
            <w:vAlign w:val="center"/>
          </w:tcPr>
          <w:p w14:paraId="05A22E0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成果类别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4A5BFCE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完成情况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3BF910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技术验证情况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6A0C6D4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4CAC1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45" w:type="dxa"/>
            <w:shd w:val="clear" w:color="auto" w:fill="auto"/>
            <w:vAlign w:val="center"/>
          </w:tcPr>
          <w:p w14:paraId="6E6EE5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原型机（工程）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0F9E97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是/否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39668A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通过/未通过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403138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3616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45" w:type="dxa"/>
            <w:shd w:val="clear" w:color="auto" w:fill="auto"/>
            <w:vAlign w:val="center"/>
          </w:tcPr>
          <w:p w14:paraId="5C26C87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软件/算法（AI）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5EEDE1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是/否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3182DFD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ROC/AUC 等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1FEE608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3D817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45" w:type="dxa"/>
            <w:shd w:val="clear" w:color="auto" w:fill="auto"/>
            <w:vAlign w:val="center"/>
          </w:tcPr>
          <w:p w14:paraId="63BF57A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数据库模块（DIDTS）</w:t>
            </w:r>
          </w:p>
        </w:tc>
        <w:tc>
          <w:tcPr>
            <w:tcW w:w="1586" w:type="dxa"/>
            <w:shd w:val="clear" w:color="auto" w:fill="auto"/>
            <w:vAlign w:val="center"/>
          </w:tcPr>
          <w:p w14:paraId="4F06A4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是/否</w:t>
            </w:r>
          </w:p>
        </w:tc>
        <w:tc>
          <w:tcPr>
            <w:tcW w:w="2519" w:type="dxa"/>
            <w:shd w:val="clear" w:color="auto" w:fill="auto"/>
            <w:vAlign w:val="center"/>
          </w:tcPr>
          <w:p w14:paraId="7EF599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字段/结构验证</w:t>
            </w:r>
          </w:p>
        </w:tc>
        <w:tc>
          <w:tcPr>
            <w:tcW w:w="847" w:type="dxa"/>
            <w:shd w:val="clear" w:color="auto" w:fill="auto"/>
            <w:vAlign w:val="center"/>
          </w:tcPr>
          <w:p w14:paraId="55F00BB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67A75853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七、经费执行情况</w:t>
      </w:r>
    </w:p>
    <w:tbl>
      <w:tblPr>
        <w:tblStyle w:val="33"/>
        <w:tblW w:w="8745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739"/>
        <w:gridCol w:w="1539"/>
        <w:gridCol w:w="1539"/>
        <w:gridCol w:w="1539"/>
        <w:gridCol w:w="1539"/>
        <w:gridCol w:w="850"/>
      </w:tblGrid>
      <w:tr w14:paraId="062CD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694" w:type="dxa"/>
            <w:shd w:val="clear" w:color="auto" w:fill="auto"/>
            <w:vAlign w:val="center"/>
          </w:tcPr>
          <w:p w14:paraId="1B655FD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经费类别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17E6D6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预算金额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4C4112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实际支出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55BBDC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使用比例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49B403E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偏差分析</w:t>
            </w:r>
          </w:p>
        </w:tc>
        <w:tc>
          <w:tcPr>
            <w:tcW w:w="805" w:type="dxa"/>
            <w:shd w:val="clear" w:color="auto" w:fill="auto"/>
            <w:vAlign w:val="center"/>
          </w:tcPr>
          <w:p w14:paraId="262FEE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5F6A1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694" w:type="dxa"/>
            <w:shd w:val="clear" w:color="auto" w:fill="auto"/>
            <w:vAlign w:val="center"/>
          </w:tcPr>
          <w:p w14:paraId="611AE58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设备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5E48E0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034353D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457063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72415E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5DFE863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5F7F8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694" w:type="dxa"/>
            <w:shd w:val="clear" w:color="auto" w:fill="auto"/>
            <w:vAlign w:val="center"/>
          </w:tcPr>
          <w:p w14:paraId="5FC4AE8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材料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290ECF2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445FD0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571C0EE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49F607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54A48DD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E538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694" w:type="dxa"/>
            <w:shd w:val="clear" w:color="auto" w:fill="auto"/>
            <w:vAlign w:val="center"/>
          </w:tcPr>
          <w:p w14:paraId="21BBDF5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劳务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5278316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75A0FA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1B3A06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0FAA3A2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513F69F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58D41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694" w:type="dxa"/>
            <w:shd w:val="clear" w:color="auto" w:fill="auto"/>
            <w:vAlign w:val="center"/>
          </w:tcPr>
          <w:p w14:paraId="29DC7F5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软件/平台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542A339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14B40F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57A1F64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7B0504C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1B54E3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178FC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694" w:type="dxa"/>
            <w:shd w:val="clear" w:color="auto" w:fill="auto"/>
            <w:vAlign w:val="center"/>
          </w:tcPr>
          <w:p w14:paraId="4BC43CE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1509" w:type="dxa"/>
            <w:shd w:val="clear" w:color="auto" w:fill="auto"/>
            <w:vAlign w:val="center"/>
          </w:tcPr>
          <w:p w14:paraId="2872B0D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62A418E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38456B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1509" w:type="dxa"/>
            <w:shd w:val="clear" w:color="auto" w:fill="auto"/>
            <w:vAlign w:val="center"/>
          </w:tcPr>
          <w:p w14:paraId="56116D3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805" w:type="dxa"/>
            <w:shd w:val="clear" w:color="auto" w:fill="auto"/>
            <w:vAlign w:val="center"/>
          </w:tcPr>
          <w:p w14:paraId="705A356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47F692C4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八、风险总结与处理情况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335"/>
        <w:gridCol w:w="2472"/>
        <w:gridCol w:w="2134"/>
        <w:gridCol w:w="806"/>
      </w:tblGrid>
      <w:tr w14:paraId="50B72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42612D7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风险类别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1D4EF9A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期中已识别风险</w:t>
            </w:r>
          </w:p>
        </w:tc>
        <w:tc>
          <w:tcPr>
            <w:tcW w:w="2104" w:type="dxa"/>
            <w:shd w:val="clear" w:color="auto" w:fill="auto"/>
            <w:vAlign w:val="center"/>
          </w:tcPr>
          <w:p w14:paraId="15C4412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最终处理情况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B6E40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5E77B0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14EA674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方案偏离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7549880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14:paraId="2534426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4C5FC78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3460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209D6DB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数据质量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761117B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14:paraId="3C6FA12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78FF740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5ADFA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64DD8B3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研发偏差（工程/AI）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7BF7A10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14:paraId="7478D29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0846E9F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458EE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290" w:type="dxa"/>
            <w:shd w:val="clear" w:color="auto" w:fill="auto"/>
            <w:vAlign w:val="center"/>
          </w:tcPr>
          <w:p w14:paraId="6528237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入组不足（RWS/RCT）</w:t>
            </w:r>
          </w:p>
        </w:tc>
        <w:tc>
          <w:tcPr>
            <w:tcW w:w="2442" w:type="dxa"/>
            <w:shd w:val="clear" w:color="auto" w:fill="auto"/>
            <w:vAlign w:val="center"/>
          </w:tcPr>
          <w:p w14:paraId="6163227B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2104" w:type="dxa"/>
            <w:shd w:val="clear" w:color="auto" w:fill="auto"/>
            <w:vAlign w:val="center"/>
          </w:tcPr>
          <w:p w14:paraId="54DF219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  <w:tc>
          <w:tcPr>
            <w:tcW w:w="761" w:type="dxa"/>
            <w:shd w:val="clear" w:color="auto" w:fill="auto"/>
            <w:vAlign w:val="center"/>
          </w:tcPr>
          <w:p w14:paraId="64F0EFB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1EEDDB2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九、综合验收意见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52"/>
        <w:gridCol w:w="6095"/>
      </w:tblGrid>
      <w:tr w14:paraId="198169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607" w:type="dxa"/>
            <w:shd w:val="clear" w:color="auto" w:fill="auto"/>
            <w:vAlign w:val="center"/>
          </w:tcPr>
          <w:p w14:paraId="2CA5D21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维度</w:t>
            </w:r>
          </w:p>
        </w:tc>
        <w:tc>
          <w:tcPr>
            <w:tcW w:w="6050" w:type="dxa"/>
            <w:shd w:val="clear" w:color="auto" w:fill="auto"/>
            <w:vAlign w:val="center"/>
          </w:tcPr>
          <w:p w14:paraId="1022F92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评价</w:t>
            </w:r>
          </w:p>
        </w:tc>
      </w:tr>
      <w:tr w14:paraId="52FCE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607" w:type="dxa"/>
            <w:shd w:val="clear" w:color="auto" w:fill="auto"/>
            <w:vAlign w:val="center"/>
          </w:tcPr>
          <w:p w14:paraId="06D5350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研究完成度</w:t>
            </w:r>
          </w:p>
        </w:tc>
        <w:tc>
          <w:tcPr>
            <w:tcW w:w="6050" w:type="dxa"/>
            <w:shd w:val="clear" w:color="auto" w:fill="auto"/>
            <w:vAlign w:val="center"/>
          </w:tcPr>
          <w:p w14:paraId="0EAA1D8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高 / 中 / 低</w:t>
            </w:r>
          </w:p>
        </w:tc>
      </w:tr>
      <w:tr w14:paraId="05F08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607" w:type="dxa"/>
            <w:shd w:val="clear" w:color="auto" w:fill="auto"/>
            <w:vAlign w:val="center"/>
          </w:tcPr>
          <w:p w14:paraId="0EFE5C8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结果质量</w:t>
            </w:r>
          </w:p>
        </w:tc>
        <w:tc>
          <w:tcPr>
            <w:tcW w:w="6050" w:type="dxa"/>
            <w:shd w:val="clear" w:color="auto" w:fill="auto"/>
            <w:vAlign w:val="center"/>
          </w:tcPr>
          <w:p w14:paraId="36F9586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高 / 中 / 需整改</w:t>
            </w:r>
          </w:p>
        </w:tc>
      </w:tr>
      <w:tr w14:paraId="50E9F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607" w:type="dxa"/>
            <w:shd w:val="clear" w:color="auto" w:fill="auto"/>
            <w:vAlign w:val="center"/>
          </w:tcPr>
          <w:p w14:paraId="055069A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科研产出</w:t>
            </w:r>
          </w:p>
        </w:tc>
        <w:tc>
          <w:tcPr>
            <w:tcW w:w="6050" w:type="dxa"/>
            <w:shd w:val="clear" w:color="auto" w:fill="auto"/>
            <w:vAlign w:val="center"/>
          </w:tcPr>
          <w:p w14:paraId="5A5AFC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达标 / 基本达标 / 未达标</w:t>
            </w:r>
          </w:p>
        </w:tc>
      </w:tr>
      <w:tr w14:paraId="679B7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607" w:type="dxa"/>
            <w:shd w:val="clear" w:color="auto" w:fill="auto"/>
            <w:vAlign w:val="center"/>
          </w:tcPr>
          <w:p w14:paraId="7A6FB8E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专利布局</w:t>
            </w:r>
          </w:p>
        </w:tc>
        <w:tc>
          <w:tcPr>
            <w:tcW w:w="6050" w:type="dxa"/>
            <w:shd w:val="clear" w:color="auto" w:fill="auto"/>
            <w:vAlign w:val="center"/>
          </w:tcPr>
          <w:p w14:paraId="37AF6B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完成 / 未完成</w:t>
            </w:r>
          </w:p>
        </w:tc>
      </w:tr>
      <w:tr w14:paraId="2E003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607" w:type="dxa"/>
            <w:shd w:val="clear" w:color="auto" w:fill="auto"/>
            <w:vAlign w:val="center"/>
          </w:tcPr>
          <w:p w14:paraId="4DEB145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经费执行</w:t>
            </w:r>
          </w:p>
        </w:tc>
        <w:tc>
          <w:tcPr>
            <w:tcW w:w="6050" w:type="dxa"/>
            <w:shd w:val="clear" w:color="auto" w:fill="auto"/>
            <w:vAlign w:val="center"/>
          </w:tcPr>
          <w:p w14:paraId="42F2C95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合规 / 基本合规 / 不合规</w:t>
            </w:r>
          </w:p>
        </w:tc>
      </w:tr>
      <w:tr w14:paraId="44F3B3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607" w:type="dxa"/>
            <w:shd w:val="clear" w:color="auto" w:fill="auto"/>
            <w:vAlign w:val="center"/>
          </w:tcPr>
          <w:p w14:paraId="02A5FA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可推广性</w:t>
            </w:r>
          </w:p>
        </w:tc>
        <w:tc>
          <w:tcPr>
            <w:tcW w:w="6050" w:type="dxa"/>
            <w:shd w:val="clear" w:color="auto" w:fill="auto"/>
            <w:vAlign w:val="center"/>
          </w:tcPr>
          <w:p w14:paraId="13C0D7D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高 / 中 / 低</w:t>
            </w:r>
          </w:p>
        </w:tc>
      </w:tr>
    </w:tbl>
    <w:p w14:paraId="4E520089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最终意见：通过 / 有条件通过 / 不通过</w:t>
      </w:r>
    </w:p>
    <w:p w14:paraId="5DF9F080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验收专家签名：______________ 日期：__________</w:t>
      </w:r>
    </w:p>
    <w:p w14:paraId="68644B53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十、结题材料清单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22"/>
        <w:gridCol w:w="2592"/>
        <w:gridCol w:w="1433"/>
      </w:tblGrid>
      <w:tr w14:paraId="239E3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4677" w:type="dxa"/>
            <w:shd w:val="clear" w:color="auto" w:fill="auto"/>
            <w:vAlign w:val="center"/>
          </w:tcPr>
          <w:p w14:paraId="3090CF6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材料名称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682123A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是否提交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22EADF6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备注</w:t>
            </w:r>
          </w:p>
        </w:tc>
      </w:tr>
      <w:tr w14:paraId="01B92E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677" w:type="dxa"/>
            <w:shd w:val="clear" w:color="auto" w:fill="auto"/>
            <w:vAlign w:val="center"/>
          </w:tcPr>
          <w:p w14:paraId="5442755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最终版 Protocol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714424D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7D3DCB3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57C95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677" w:type="dxa"/>
            <w:shd w:val="clear" w:color="auto" w:fill="auto"/>
            <w:vAlign w:val="center"/>
          </w:tcPr>
          <w:p w14:paraId="40D214E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CRF + 数据字典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6E0AB281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CBA450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3431D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677" w:type="dxa"/>
            <w:shd w:val="clear" w:color="auto" w:fill="auto"/>
            <w:vAlign w:val="center"/>
          </w:tcPr>
          <w:p w14:paraId="4F04C31E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SAP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14EB9AFD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68DA9FA5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1D0A5E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677" w:type="dxa"/>
            <w:shd w:val="clear" w:color="auto" w:fill="auto"/>
            <w:vAlign w:val="center"/>
          </w:tcPr>
          <w:p w14:paraId="567A5C44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数据库导出文件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157B384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34001C46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6E2F33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677" w:type="dxa"/>
            <w:shd w:val="clear" w:color="auto" w:fill="auto"/>
            <w:vAlign w:val="center"/>
          </w:tcPr>
          <w:p w14:paraId="4A540E43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论文/专利证明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269A16D2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1B2091F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45A08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CellSpacing w:w="15" w:type="dxa"/>
          <w:jc w:val="center"/>
        </w:trPr>
        <w:tc>
          <w:tcPr>
            <w:tcW w:w="4677" w:type="dxa"/>
            <w:shd w:val="clear" w:color="auto" w:fill="auto"/>
            <w:vAlign w:val="center"/>
          </w:tcPr>
          <w:p w14:paraId="00D534A7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经费决算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329D5D8F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5C518B39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  <w:tr w14:paraId="2E37F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677" w:type="dxa"/>
            <w:shd w:val="clear" w:color="auto" w:fill="auto"/>
            <w:vAlign w:val="center"/>
          </w:tcPr>
          <w:p w14:paraId="70098568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项目总结报告</w:t>
            </w:r>
          </w:p>
        </w:tc>
        <w:tc>
          <w:tcPr>
            <w:tcW w:w="2562" w:type="dxa"/>
            <w:shd w:val="clear" w:color="auto" w:fill="auto"/>
            <w:vAlign w:val="center"/>
          </w:tcPr>
          <w:p w14:paraId="5FB0A790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  <w:tc>
          <w:tcPr>
            <w:tcW w:w="1388" w:type="dxa"/>
            <w:shd w:val="clear" w:color="auto" w:fill="auto"/>
            <w:vAlign w:val="center"/>
          </w:tcPr>
          <w:p w14:paraId="0FBDB2FC">
            <w:pPr>
              <w:keepNext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</w:p>
        </w:tc>
      </w:tr>
    </w:tbl>
    <w:p w14:paraId="36303F0E">
      <w:pPr>
        <w:pStyle w:val="5"/>
        <w:bidi w:val="0"/>
        <w:rPr>
          <w:rFonts w:hint="eastAsia" w:ascii="楷体" w:hAnsi="楷体" w:eastAsia="楷体" w:cs="楷体"/>
          <w:sz w:val="21"/>
          <w:szCs w:val="21"/>
        </w:rPr>
      </w:pPr>
      <w:bookmarkStart w:id="109" w:name="第三章-角色与责任raci-责任矩阵"/>
      <w:r>
        <w:rPr>
          <w:rFonts w:hint="eastAsia" w:ascii="楷体" w:hAnsi="楷体" w:eastAsia="楷体" w:cs="楷体"/>
          <w:sz w:val="21"/>
          <w:szCs w:val="21"/>
          <w:lang w:val="en-US" w:eastAsia="zh-CN"/>
        </w:rPr>
        <w:t>附件12　</w:t>
      </w:r>
      <w:r>
        <w:rPr>
          <w:rFonts w:hint="eastAsia" w:ascii="楷体" w:hAnsi="楷体" w:eastAsia="楷体" w:cs="楷体"/>
          <w:sz w:val="21"/>
          <w:szCs w:val="21"/>
        </w:rPr>
        <w:t>角色与责任（RACI 责任矩阵）</w:t>
      </w:r>
    </w:p>
    <w:tbl>
      <w:tblPr>
        <w:tblStyle w:val="167"/>
        <w:tblW w:w="88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4"/>
        <w:gridCol w:w="510"/>
        <w:gridCol w:w="1318"/>
        <w:gridCol w:w="1587"/>
        <w:gridCol w:w="1049"/>
        <w:gridCol w:w="1183"/>
      </w:tblGrid>
      <w:tr w14:paraId="6A01B3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3204" w:type="dxa"/>
          </w:tcPr>
          <w:p w14:paraId="5F4B9943">
            <w:pPr>
              <w:pStyle w:val="166"/>
              <w:snapToGrid w:val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工作内容</w:t>
            </w:r>
          </w:p>
        </w:tc>
        <w:tc>
          <w:tcPr>
            <w:tcW w:w="510" w:type="dxa"/>
          </w:tcPr>
          <w:p w14:paraId="15662F0E">
            <w:pPr>
              <w:pStyle w:val="166"/>
              <w:snapToGrid w:val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PI</w:t>
            </w:r>
          </w:p>
        </w:tc>
        <w:tc>
          <w:tcPr>
            <w:tcW w:w="1318" w:type="dxa"/>
          </w:tcPr>
          <w:p w14:paraId="7F1B6391">
            <w:pPr>
              <w:pStyle w:val="166"/>
              <w:snapToGrid w:val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研究护士</w:t>
            </w:r>
          </w:p>
        </w:tc>
        <w:tc>
          <w:tcPr>
            <w:tcW w:w="1587" w:type="dxa"/>
          </w:tcPr>
          <w:p w14:paraId="47FE70E9">
            <w:pPr>
              <w:pStyle w:val="166"/>
              <w:snapToGrid w:val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数据管理员</w:t>
            </w:r>
          </w:p>
        </w:tc>
        <w:tc>
          <w:tcPr>
            <w:tcW w:w="1049" w:type="dxa"/>
          </w:tcPr>
          <w:p w14:paraId="236678CE">
            <w:pPr>
              <w:pStyle w:val="166"/>
              <w:snapToGrid w:val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科研办</w:t>
            </w:r>
          </w:p>
        </w:tc>
        <w:tc>
          <w:tcPr>
            <w:tcW w:w="1183" w:type="dxa"/>
          </w:tcPr>
          <w:p w14:paraId="38720CD7">
            <w:pPr>
              <w:pStyle w:val="166"/>
              <w:snapToGrid w:val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  <w:lang w:eastAsia="zh-CN"/>
              </w:rPr>
              <w:t>SRWS</w:t>
            </w:r>
            <w:r>
              <w:rPr>
                <w:rFonts w:hint="eastAsia" w:ascii="楷体" w:hAnsi="楷体" w:eastAsia="楷体" w:cs="楷体"/>
                <w:sz w:val="21"/>
                <w:szCs w:val="21"/>
              </w:rPr>
              <w:t>-SC</w:t>
            </w:r>
          </w:p>
        </w:tc>
      </w:tr>
      <w:tr w14:paraId="76413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</w:tcPr>
          <w:p w14:paraId="3A01532D">
            <w:pPr>
              <w:pStyle w:val="166"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课题立项申请</w:t>
            </w:r>
          </w:p>
        </w:tc>
        <w:tc>
          <w:tcPr>
            <w:tcW w:w="510" w:type="dxa"/>
          </w:tcPr>
          <w:p w14:paraId="60F05403">
            <w:pPr>
              <w:pStyle w:val="166"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R</w:t>
            </w:r>
          </w:p>
        </w:tc>
        <w:tc>
          <w:tcPr>
            <w:tcW w:w="1318" w:type="dxa"/>
          </w:tcPr>
          <w:p w14:paraId="67C934E9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  <w:tc>
          <w:tcPr>
            <w:tcW w:w="1587" w:type="dxa"/>
          </w:tcPr>
          <w:p w14:paraId="1FA77005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</w:t>
            </w:r>
          </w:p>
        </w:tc>
        <w:tc>
          <w:tcPr>
            <w:tcW w:w="1049" w:type="dxa"/>
          </w:tcPr>
          <w:p w14:paraId="46747830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  <w:tc>
          <w:tcPr>
            <w:tcW w:w="1183" w:type="dxa"/>
          </w:tcPr>
          <w:p w14:paraId="07121372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A</w:t>
            </w:r>
          </w:p>
        </w:tc>
      </w:tr>
      <w:tr w14:paraId="31EB4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</w:tcPr>
          <w:p w14:paraId="536E8A89">
            <w:pPr>
              <w:pStyle w:val="166"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Protocol（含 SAP）</w:t>
            </w:r>
          </w:p>
        </w:tc>
        <w:tc>
          <w:tcPr>
            <w:tcW w:w="510" w:type="dxa"/>
          </w:tcPr>
          <w:p w14:paraId="68F269C0">
            <w:pPr>
              <w:pStyle w:val="166"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R</w:t>
            </w:r>
          </w:p>
        </w:tc>
        <w:tc>
          <w:tcPr>
            <w:tcW w:w="1318" w:type="dxa"/>
          </w:tcPr>
          <w:p w14:paraId="5C198898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  <w:tc>
          <w:tcPr>
            <w:tcW w:w="1587" w:type="dxa"/>
          </w:tcPr>
          <w:p w14:paraId="26AD0DD1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  <w:tc>
          <w:tcPr>
            <w:tcW w:w="1049" w:type="dxa"/>
          </w:tcPr>
          <w:p w14:paraId="75609583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</w:t>
            </w:r>
          </w:p>
        </w:tc>
        <w:tc>
          <w:tcPr>
            <w:tcW w:w="1183" w:type="dxa"/>
          </w:tcPr>
          <w:p w14:paraId="339D5E9A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A</w:t>
            </w:r>
          </w:p>
        </w:tc>
      </w:tr>
      <w:tr w14:paraId="39C4E1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</w:tcPr>
          <w:p w14:paraId="37E9E8C7">
            <w:pPr>
              <w:pStyle w:val="166"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CRF + 数据字典</w:t>
            </w:r>
          </w:p>
        </w:tc>
        <w:tc>
          <w:tcPr>
            <w:tcW w:w="510" w:type="dxa"/>
          </w:tcPr>
          <w:p w14:paraId="78981190">
            <w:pPr>
              <w:pStyle w:val="166"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R</w:t>
            </w:r>
          </w:p>
        </w:tc>
        <w:tc>
          <w:tcPr>
            <w:tcW w:w="1318" w:type="dxa"/>
          </w:tcPr>
          <w:p w14:paraId="336C7297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R</w:t>
            </w:r>
          </w:p>
        </w:tc>
        <w:tc>
          <w:tcPr>
            <w:tcW w:w="1587" w:type="dxa"/>
          </w:tcPr>
          <w:p w14:paraId="243C3BF4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A</w:t>
            </w:r>
          </w:p>
        </w:tc>
        <w:tc>
          <w:tcPr>
            <w:tcW w:w="1049" w:type="dxa"/>
          </w:tcPr>
          <w:p w14:paraId="78459CB2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  <w:tc>
          <w:tcPr>
            <w:tcW w:w="1183" w:type="dxa"/>
          </w:tcPr>
          <w:p w14:paraId="4CFE09B4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A</w:t>
            </w:r>
          </w:p>
        </w:tc>
      </w:tr>
      <w:tr w14:paraId="7731E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</w:tcPr>
          <w:p w14:paraId="4C5385DB">
            <w:pPr>
              <w:pStyle w:val="166"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数据入库</w:t>
            </w:r>
          </w:p>
        </w:tc>
        <w:tc>
          <w:tcPr>
            <w:tcW w:w="510" w:type="dxa"/>
          </w:tcPr>
          <w:p w14:paraId="46229333">
            <w:pPr>
              <w:pStyle w:val="166"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</w:t>
            </w:r>
          </w:p>
        </w:tc>
        <w:tc>
          <w:tcPr>
            <w:tcW w:w="1318" w:type="dxa"/>
          </w:tcPr>
          <w:p w14:paraId="3C98CE0E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R</w:t>
            </w:r>
          </w:p>
        </w:tc>
        <w:tc>
          <w:tcPr>
            <w:tcW w:w="1587" w:type="dxa"/>
          </w:tcPr>
          <w:p w14:paraId="6198FCD8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A</w:t>
            </w:r>
          </w:p>
        </w:tc>
        <w:tc>
          <w:tcPr>
            <w:tcW w:w="1049" w:type="dxa"/>
          </w:tcPr>
          <w:p w14:paraId="7CD9D02A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</w:t>
            </w:r>
          </w:p>
        </w:tc>
        <w:tc>
          <w:tcPr>
            <w:tcW w:w="1183" w:type="dxa"/>
          </w:tcPr>
          <w:p w14:paraId="12243807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</w:tr>
      <w:tr w14:paraId="442AE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</w:tcPr>
          <w:p w14:paraId="49E2DAD9">
            <w:pPr>
              <w:pStyle w:val="166"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数据质量检查</w:t>
            </w:r>
          </w:p>
        </w:tc>
        <w:tc>
          <w:tcPr>
            <w:tcW w:w="510" w:type="dxa"/>
          </w:tcPr>
          <w:p w14:paraId="675B06B9">
            <w:pPr>
              <w:pStyle w:val="166"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</w:t>
            </w:r>
          </w:p>
        </w:tc>
        <w:tc>
          <w:tcPr>
            <w:tcW w:w="1318" w:type="dxa"/>
          </w:tcPr>
          <w:p w14:paraId="5C46D818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  <w:tc>
          <w:tcPr>
            <w:tcW w:w="1587" w:type="dxa"/>
          </w:tcPr>
          <w:p w14:paraId="761ECEE3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A</w:t>
            </w:r>
          </w:p>
        </w:tc>
        <w:tc>
          <w:tcPr>
            <w:tcW w:w="1049" w:type="dxa"/>
          </w:tcPr>
          <w:p w14:paraId="165A5FE5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  <w:tc>
          <w:tcPr>
            <w:tcW w:w="1183" w:type="dxa"/>
          </w:tcPr>
          <w:p w14:paraId="409026F2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R</w:t>
            </w:r>
          </w:p>
        </w:tc>
      </w:tr>
      <w:tr w14:paraId="1CDFBC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</w:tcPr>
          <w:p w14:paraId="73BCFA7D">
            <w:pPr>
              <w:pStyle w:val="166"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Manuscript Skeleton</w:t>
            </w:r>
          </w:p>
        </w:tc>
        <w:tc>
          <w:tcPr>
            <w:tcW w:w="510" w:type="dxa"/>
          </w:tcPr>
          <w:p w14:paraId="2DE22AD0">
            <w:pPr>
              <w:pStyle w:val="166"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R</w:t>
            </w:r>
          </w:p>
        </w:tc>
        <w:tc>
          <w:tcPr>
            <w:tcW w:w="1318" w:type="dxa"/>
          </w:tcPr>
          <w:p w14:paraId="77F799E0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  <w:tc>
          <w:tcPr>
            <w:tcW w:w="1587" w:type="dxa"/>
          </w:tcPr>
          <w:p w14:paraId="548B0FE9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</w:t>
            </w:r>
          </w:p>
        </w:tc>
        <w:tc>
          <w:tcPr>
            <w:tcW w:w="1049" w:type="dxa"/>
          </w:tcPr>
          <w:p w14:paraId="47C91E9F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</w:t>
            </w:r>
          </w:p>
        </w:tc>
        <w:tc>
          <w:tcPr>
            <w:tcW w:w="1183" w:type="dxa"/>
          </w:tcPr>
          <w:p w14:paraId="2668FC87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A</w:t>
            </w:r>
          </w:p>
        </w:tc>
      </w:tr>
      <w:tr w14:paraId="68CAB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</w:tcPr>
          <w:p w14:paraId="1B7810D6">
            <w:pPr>
              <w:pStyle w:val="166"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专利布局（IP Mapping）</w:t>
            </w:r>
          </w:p>
        </w:tc>
        <w:tc>
          <w:tcPr>
            <w:tcW w:w="510" w:type="dxa"/>
          </w:tcPr>
          <w:p w14:paraId="2C75EAED">
            <w:pPr>
              <w:pStyle w:val="166"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R</w:t>
            </w:r>
          </w:p>
        </w:tc>
        <w:tc>
          <w:tcPr>
            <w:tcW w:w="1318" w:type="dxa"/>
          </w:tcPr>
          <w:p w14:paraId="0C77DC0B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</w:t>
            </w:r>
          </w:p>
        </w:tc>
        <w:tc>
          <w:tcPr>
            <w:tcW w:w="1587" w:type="dxa"/>
          </w:tcPr>
          <w:p w14:paraId="795B9E2C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</w:t>
            </w:r>
          </w:p>
        </w:tc>
        <w:tc>
          <w:tcPr>
            <w:tcW w:w="1049" w:type="dxa"/>
          </w:tcPr>
          <w:p w14:paraId="1D75A5EF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  <w:tc>
          <w:tcPr>
            <w:tcW w:w="1183" w:type="dxa"/>
          </w:tcPr>
          <w:p w14:paraId="376AEAD8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A</w:t>
            </w:r>
          </w:p>
        </w:tc>
      </w:tr>
      <w:tr w14:paraId="286AD1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</w:tcPr>
          <w:p w14:paraId="2CA46904">
            <w:pPr>
              <w:pStyle w:val="166"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阶段审核</w:t>
            </w:r>
          </w:p>
        </w:tc>
        <w:tc>
          <w:tcPr>
            <w:tcW w:w="510" w:type="dxa"/>
          </w:tcPr>
          <w:p w14:paraId="163A39CC">
            <w:pPr>
              <w:pStyle w:val="166"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</w:t>
            </w:r>
          </w:p>
        </w:tc>
        <w:tc>
          <w:tcPr>
            <w:tcW w:w="1318" w:type="dxa"/>
          </w:tcPr>
          <w:p w14:paraId="430C526D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</w:t>
            </w:r>
          </w:p>
        </w:tc>
        <w:tc>
          <w:tcPr>
            <w:tcW w:w="1587" w:type="dxa"/>
          </w:tcPr>
          <w:p w14:paraId="7957F9C5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I</w:t>
            </w:r>
          </w:p>
        </w:tc>
        <w:tc>
          <w:tcPr>
            <w:tcW w:w="1049" w:type="dxa"/>
          </w:tcPr>
          <w:p w14:paraId="099CCDA8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  <w:tc>
          <w:tcPr>
            <w:tcW w:w="1183" w:type="dxa"/>
          </w:tcPr>
          <w:p w14:paraId="3A9ECEE0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A</w:t>
            </w:r>
          </w:p>
        </w:tc>
      </w:tr>
      <w:tr w14:paraId="59AE23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3204" w:type="dxa"/>
          </w:tcPr>
          <w:p w14:paraId="4DB421B4">
            <w:pPr>
              <w:pStyle w:val="166"/>
              <w:snapToGrid w:val="0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sz w:val="21"/>
                <w:szCs w:val="21"/>
              </w:rPr>
              <w:t>结题验收</w:t>
            </w:r>
          </w:p>
        </w:tc>
        <w:tc>
          <w:tcPr>
            <w:tcW w:w="510" w:type="dxa"/>
          </w:tcPr>
          <w:p w14:paraId="4B20BBA1">
            <w:pPr>
              <w:pStyle w:val="166"/>
              <w:snapToGrid w:val="0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R</w:t>
            </w:r>
          </w:p>
        </w:tc>
        <w:tc>
          <w:tcPr>
            <w:tcW w:w="1318" w:type="dxa"/>
          </w:tcPr>
          <w:p w14:paraId="536E7278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  <w:tc>
          <w:tcPr>
            <w:tcW w:w="1587" w:type="dxa"/>
          </w:tcPr>
          <w:p w14:paraId="076A2AE0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A</w:t>
            </w:r>
          </w:p>
        </w:tc>
        <w:tc>
          <w:tcPr>
            <w:tcW w:w="1049" w:type="dxa"/>
          </w:tcPr>
          <w:p w14:paraId="1D63EA49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C</w:t>
            </w:r>
          </w:p>
        </w:tc>
        <w:tc>
          <w:tcPr>
            <w:tcW w:w="1183" w:type="dxa"/>
          </w:tcPr>
          <w:p w14:paraId="4CDA87DB">
            <w:pPr>
              <w:pStyle w:val="166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sz w:val="21"/>
                <w:szCs w:val="21"/>
              </w:rPr>
              <w:t>A</w:t>
            </w:r>
          </w:p>
        </w:tc>
      </w:tr>
    </w:tbl>
    <w:p w14:paraId="2BF70DA0">
      <w:pPr>
        <w:pStyle w:val="7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说明：R=负责（Responsible）；A=最终负责（Accountable）；C=协助（Consulted）；I=知会（Informed）。</w:t>
      </w:r>
    </w:p>
    <w:bookmarkEnd w:id="109"/>
    <w:p w14:paraId="440F4A07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>附件13　</w:t>
      </w:r>
      <w:r>
        <w:rPr>
          <w:rFonts w:hint="eastAsia" w:ascii="黑体" w:hAnsi="黑体" w:eastAsia="黑体" w:cs="黑体"/>
        </w:rPr>
        <w:t>文献检索规范（含数据库、关键词组合）</w:t>
      </w:r>
    </w:p>
    <w:p w14:paraId="73A08A58">
      <w:pPr>
        <w:pStyle w:val="30"/>
        <w:keepNext w:val="0"/>
        <w:keepLines w:val="0"/>
        <w:widowControl/>
        <w:suppressLineNumbers w:val="0"/>
        <w:ind w:firstLine="420" w:firstLineChars="20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 xml:space="preserve">本规范适用于 RWS、RCT、工程器械研发、AI 模型、数据库体系建设（DIDTS）等所有项目，旨在实现文献检索 </w:t>
      </w:r>
      <w:r>
        <w:rPr>
          <w:rStyle w:val="134"/>
          <w:rFonts w:hint="eastAsia" w:ascii="楷体" w:hAnsi="楷体" w:eastAsia="楷体" w:cs="楷体"/>
          <w:sz w:val="21"/>
          <w:szCs w:val="21"/>
        </w:rPr>
        <w:t>标准化、可复现、可审计</w:t>
      </w:r>
      <w:r>
        <w:rPr>
          <w:rFonts w:hint="eastAsia" w:ascii="楷体" w:hAnsi="楷体" w:eastAsia="楷体" w:cs="楷体"/>
          <w:sz w:val="21"/>
          <w:szCs w:val="21"/>
        </w:rPr>
        <w:t>，并与 Protocol、Manuscript Skeleton、IP Mapping 完整衔接。</w:t>
      </w:r>
    </w:p>
    <w:p w14:paraId="38D1DF65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一、文献检索总体要求</w:t>
      </w:r>
    </w:p>
    <w:p w14:paraId="798778BA">
      <w:pPr>
        <w:pStyle w:val="30"/>
        <w:keepNext w:val="0"/>
        <w:keepLines w:val="0"/>
        <w:widowControl/>
        <w:numPr>
          <w:ilvl w:val="0"/>
          <w:numId w:val="78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三层检索体系</w:t>
      </w:r>
      <w:r>
        <w:rPr>
          <w:rFonts w:hint="eastAsia" w:ascii="楷体" w:hAnsi="楷体" w:eastAsia="楷体" w:cs="楷体"/>
          <w:sz w:val="21"/>
          <w:szCs w:val="21"/>
        </w:rPr>
        <w:t>：基础检索（广度）→专业检索（深度）→证据级别筛选（质量）。</w:t>
      </w:r>
    </w:p>
    <w:p w14:paraId="3B0A8CC0">
      <w:pPr>
        <w:pStyle w:val="30"/>
        <w:keepNext w:val="0"/>
        <w:keepLines w:val="0"/>
        <w:widowControl/>
        <w:numPr>
          <w:ilvl w:val="0"/>
          <w:numId w:val="78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必须形成可复现记录</w:t>
      </w:r>
      <w:r>
        <w:rPr>
          <w:rFonts w:hint="eastAsia" w:ascii="楷体" w:hAnsi="楷体" w:eastAsia="楷体" w:cs="楷体"/>
          <w:sz w:val="21"/>
          <w:szCs w:val="21"/>
        </w:rPr>
        <w:t>：包含数据库、时间区间、检索式、纳排标准、流程图（PRISMA）。</w:t>
      </w:r>
    </w:p>
    <w:p w14:paraId="1DB1BC49">
      <w:pPr>
        <w:pStyle w:val="30"/>
        <w:keepNext w:val="0"/>
        <w:keepLines w:val="0"/>
        <w:widowControl/>
        <w:numPr>
          <w:ilvl w:val="0"/>
          <w:numId w:val="78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与四前置化对齐</w:t>
      </w:r>
      <w:r>
        <w:rPr>
          <w:rFonts w:hint="eastAsia" w:ascii="楷体" w:hAnsi="楷体" w:eastAsia="楷体" w:cs="楷体"/>
          <w:sz w:val="21"/>
          <w:szCs w:val="21"/>
        </w:rPr>
        <w:t>：检索要同步反映到方案背景、终点定义、统计方法与专利布局中。</w:t>
      </w:r>
    </w:p>
    <w:p w14:paraId="32DD6C5B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二、数据库选择（按研究类型）</w:t>
      </w:r>
    </w:p>
    <w:p w14:paraId="3FC41D63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临床类（RWS/RCT）数据库</w:t>
      </w:r>
    </w:p>
    <w:p w14:paraId="79291EA6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PubMed / MEDLINE</w:t>
      </w:r>
    </w:p>
    <w:p w14:paraId="1CF5B14A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Embase</w:t>
      </w:r>
    </w:p>
    <w:p w14:paraId="5DC34D9B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Cochrane Library</w:t>
      </w:r>
    </w:p>
    <w:p w14:paraId="46B885C8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Web of Science (SCI)</w:t>
      </w:r>
    </w:p>
    <w:p w14:paraId="535AFE98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CNKI（中文）</w:t>
      </w:r>
    </w:p>
    <w:p w14:paraId="224FEC89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Wanfang / CQVIP（补充）</w:t>
      </w:r>
    </w:p>
    <w:p w14:paraId="684B206A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工程/器械研发数据库</w:t>
      </w:r>
    </w:p>
    <w:p w14:paraId="7855269F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IEEE Xplore</w:t>
      </w:r>
    </w:p>
    <w:p w14:paraId="4236B84F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Engineering Village（Compendex）</w:t>
      </w:r>
    </w:p>
    <w:p w14:paraId="5EAEC9A4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Web of Science（Engineering）</w:t>
      </w:r>
    </w:p>
    <w:p w14:paraId="10A2619F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Google Scholar（补充）</w:t>
      </w:r>
    </w:p>
    <w:p w14:paraId="10E2023A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中国知网工程技术类数据库</w:t>
      </w:r>
    </w:p>
    <w:p w14:paraId="6B961E0D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 AI / 计算机类数据库</w:t>
      </w:r>
    </w:p>
    <w:p w14:paraId="5FC5BC4F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IEEE Xplore</w:t>
      </w:r>
    </w:p>
    <w:p w14:paraId="45EEDD6C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ACM Digital Library</w:t>
      </w:r>
    </w:p>
    <w:p w14:paraId="304B9E42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arXiv</w:t>
      </w:r>
    </w:p>
    <w:p w14:paraId="3E75ABA4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Springer / Elsevier 计算机方向</w:t>
      </w:r>
    </w:p>
    <w:p w14:paraId="5C0938E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4. 专利数据库（IP Mapping 使用）</w:t>
      </w:r>
    </w:p>
    <w:p w14:paraId="1DE6A24B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CNIPA（中国）</w:t>
      </w:r>
    </w:p>
    <w:p w14:paraId="30F431A0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WIPO（PCT）</w:t>
      </w:r>
    </w:p>
    <w:p w14:paraId="222DC36B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USPTO</w:t>
      </w:r>
    </w:p>
    <w:p w14:paraId="53F41F12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EPO</w:t>
      </w:r>
    </w:p>
    <w:p w14:paraId="436A1193">
      <w:pPr>
        <w:pStyle w:val="30"/>
        <w:keepNext w:val="0"/>
        <w:keepLines w:val="0"/>
        <w:widowControl/>
        <w:numPr>
          <w:ilvl w:val="0"/>
          <w:numId w:val="79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Google Patents</w:t>
      </w:r>
    </w:p>
    <w:p w14:paraId="7026DEBD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三、检索主题（Thematic Blocks）</w:t>
      </w:r>
    </w:p>
    <w:p w14:paraId="390BA528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每个课题至少覆盖以下四类主题：</w:t>
      </w:r>
    </w:p>
    <w:p w14:paraId="54BD24D5">
      <w:pPr>
        <w:pStyle w:val="30"/>
        <w:keepNext w:val="0"/>
        <w:keepLines w:val="0"/>
        <w:widowControl/>
        <w:numPr>
          <w:ilvl w:val="0"/>
          <w:numId w:val="80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Disease/Clinical Condition（疾病主题）</w:t>
      </w:r>
    </w:p>
    <w:p w14:paraId="6DE66031">
      <w:pPr>
        <w:pStyle w:val="30"/>
        <w:keepNext w:val="0"/>
        <w:keepLines w:val="0"/>
        <w:widowControl/>
        <w:numPr>
          <w:ilvl w:val="0"/>
          <w:numId w:val="80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Intervention/Technology（干预/技术主题）</w:t>
      </w:r>
    </w:p>
    <w:p w14:paraId="5DA63125">
      <w:pPr>
        <w:pStyle w:val="30"/>
        <w:keepNext w:val="0"/>
        <w:keepLines w:val="0"/>
        <w:widowControl/>
        <w:numPr>
          <w:ilvl w:val="0"/>
          <w:numId w:val="80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Outcome/Endpoints（终点主题）</w:t>
      </w:r>
    </w:p>
    <w:p w14:paraId="4370EFBC">
      <w:pPr>
        <w:pStyle w:val="30"/>
        <w:keepNext w:val="0"/>
        <w:keepLines w:val="0"/>
        <w:widowControl/>
        <w:numPr>
          <w:ilvl w:val="0"/>
          <w:numId w:val="80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Methods/Models（方法学主题）</w:t>
      </w:r>
    </w:p>
    <w:p w14:paraId="62B0DC5A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例如：</w:t>
      </w:r>
    </w:p>
    <w:p w14:paraId="39E43DD0">
      <w:pPr>
        <w:pStyle w:val="30"/>
        <w:keepNext w:val="0"/>
        <w:keepLines w:val="0"/>
        <w:widowControl/>
        <w:numPr>
          <w:ilvl w:val="0"/>
          <w:numId w:val="81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低位直肠癌 TME → "rectal cancer", "TME", "mesorectal", "lymphatic spread"</w:t>
      </w:r>
    </w:p>
    <w:p w14:paraId="43DB220C">
      <w:pPr>
        <w:pStyle w:val="30"/>
        <w:keepNext w:val="0"/>
        <w:keepLines w:val="0"/>
        <w:widowControl/>
        <w:numPr>
          <w:ilvl w:val="0"/>
          <w:numId w:val="81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空肠间置术 → "jejunal interposition", "gastric surgery", "reflux"</w:t>
      </w:r>
    </w:p>
    <w:p w14:paraId="6613A8E7">
      <w:pPr>
        <w:pStyle w:val="30"/>
        <w:keepNext w:val="0"/>
        <w:keepLines w:val="0"/>
        <w:widowControl/>
        <w:numPr>
          <w:ilvl w:val="0"/>
          <w:numId w:val="81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CETC → "endoscopic resection", "transparent cap", "snare"</w:t>
      </w:r>
    </w:p>
    <w:p w14:paraId="3BCCF23D">
      <w:pPr>
        <w:pStyle w:val="30"/>
        <w:keepNext w:val="0"/>
        <w:keepLines w:val="0"/>
        <w:widowControl/>
        <w:numPr>
          <w:ilvl w:val="0"/>
          <w:numId w:val="81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SMLSP → "robotic laparoscopic", "hand-controlled manipulator", "admittance control"</w:t>
      </w:r>
    </w:p>
    <w:p w14:paraId="271D9664">
      <w:pPr>
        <w:pStyle w:val="30"/>
        <w:keepNext w:val="0"/>
        <w:keepLines w:val="0"/>
        <w:widowControl/>
        <w:numPr>
          <w:ilvl w:val="0"/>
          <w:numId w:val="81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PRI/PARI/PoRA-6 → "postoperative recovery", "risk prediction", "complication index"</w:t>
      </w:r>
    </w:p>
    <w:p w14:paraId="35DC29AB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四、关键词（MeSH + Free Terms）组合</w:t>
      </w:r>
    </w:p>
    <w:p w14:paraId="0EF4D073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基础结构（必须使用 Boolean Logic）</w:t>
      </w:r>
    </w:p>
    <w:p w14:paraId="6313AA09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(disease terms) AND (intervention terms) AND (outcome terms) AND (methodology terms)</w:t>
      </w:r>
    </w:p>
    <w:p w14:paraId="1F12BB09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RWS 示例（空肠间置术）</w:t>
      </w:r>
    </w:p>
    <w:p w14:paraId="7BCD3E14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("jejunal interposition" OR "Roux-en-Y")</w:t>
      </w:r>
    </w:p>
    <w:p w14:paraId="660761F3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AND ("gastric cancer" OR "gastrectomy")</w:t>
      </w:r>
    </w:p>
    <w:p w14:paraId="03AD8871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AND ("reflux" OR "bile reflux" OR "quality of life")</w:t>
      </w:r>
    </w:p>
    <w:p w14:paraId="652E89EE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AND ("real world" OR "cohort" OR "observational study")</w:t>
      </w:r>
    </w:p>
    <w:p w14:paraId="2B211A2F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工程研究示例（手控机械臂）</w:t>
      </w:r>
    </w:p>
    <w:p w14:paraId="45E6530E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("robotic arm" OR "manipulator" OR "laparoscopic instrument")</w:t>
      </w:r>
    </w:p>
    <w:p w14:paraId="320E3B42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AND ("admittance control" OR "impedance control" OR "direct control")</w:t>
      </w:r>
    </w:p>
    <w:p w14:paraId="3F362344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AND ("trajectory error" OR "stability")</w:t>
      </w:r>
    </w:p>
    <w:p w14:paraId="2D40ED05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AND ("prototype" OR "bench test")</w:t>
      </w:r>
    </w:p>
    <w:p w14:paraId="748B3F16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 AI 研究示例（C-EMR 场景识别）</w:t>
      </w:r>
    </w:p>
    <w:p w14:paraId="3EB5DB30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 xml:space="preserve">("electronic medical record" OR EMR) </w:t>
      </w:r>
    </w:p>
    <w:p w14:paraId="0FBDE9A5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AND ("natural language processing" OR "large language model" OR "transformer")</w:t>
      </w:r>
    </w:p>
    <w:p w14:paraId="542D4421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AND ("clinical information extraction" OR "feature extraction")</w:t>
      </w:r>
    </w:p>
    <w:p w14:paraId="78A9DAC2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AND ("medical AI" OR "clinical decision support")</w:t>
      </w:r>
    </w:p>
    <w:p w14:paraId="0035E6EF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五、检索流程（标准化 PRISMA 流程）</w:t>
      </w:r>
    </w:p>
    <w:p w14:paraId="46843A0E">
      <w:pPr>
        <w:pStyle w:val="30"/>
        <w:keepNext w:val="0"/>
        <w:keepLines w:val="0"/>
        <w:widowControl/>
        <w:numPr>
          <w:ilvl w:val="0"/>
          <w:numId w:val="82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明确检索问题（PICO/PECO/工程问题/AI问题）</w:t>
      </w:r>
    </w:p>
    <w:p w14:paraId="6730F833">
      <w:pPr>
        <w:pStyle w:val="30"/>
        <w:keepNext w:val="0"/>
        <w:keepLines w:val="0"/>
        <w:widowControl/>
        <w:numPr>
          <w:ilvl w:val="0"/>
          <w:numId w:val="82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选择数据库并记录版本号</w:t>
      </w:r>
    </w:p>
    <w:p w14:paraId="4CA227AD">
      <w:pPr>
        <w:pStyle w:val="30"/>
        <w:keepNext w:val="0"/>
        <w:keepLines w:val="0"/>
        <w:widowControl/>
        <w:numPr>
          <w:ilvl w:val="0"/>
          <w:numId w:val="82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构建检索式（须保存全文）</w:t>
      </w:r>
    </w:p>
    <w:p w14:paraId="6E83C506">
      <w:pPr>
        <w:pStyle w:val="30"/>
        <w:keepNext w:val="0"/>
        <w:keepLines w:val="0"/>
        <w:widowControl/>
        <w:numPr>
          <w:ilvl w:val="0"/>
          <w:numId w:val="82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导出全部结果并去重</w:t>
      </w:r>
    </w:p>
    <w:p w14:paraId="55350E43">
      <w:pPr>
        <w:pStyle w:val="30"/>
        <w:keepNext w:val="0"/>
        <w:keepLines w:val="0"/>
        <w:widowControl/>
        <w:numPr>
          <w:ilvl w:val="0"/>
          <w:numId w:val="82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按纳入排除标准筛选</w:t>
      </w:r>
    </w:p>
    <w:p w14:paraId="39B512F4">
      <w:pPr>
        <w:pStyle w:val="30"/>
        <w:keepNext w:val="0"/>
        <w:keepLines w:val="0"/>
        <w:widowControl/>
        <w:numPr>
          <w:ilvl w:val="0"/>
          <w:numId w:val="82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形成 PRISMA 流程图：</w:t>
      </w:r>
    </w:p>
    <w:p w14:paraId="6165FB76">
      <w:pPr>
        <w:pStyle w:val="30"/>
        <w:keepNext w:val="0"/>
        <w:keepLines w:val="0"/>
        <w:widowControl/>
        <w:numPr>
          <w:ilvl w:val="0"/>
          <w:numId w:val="83"/>
        </w:numPr>
        <w:suppressLineNumbers w:val="0"/>
        <w:ind w:left="84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识别 → 去重 → 初筛 → 复筛 → 纳入</w:t>
      </w:r>
    </w:p>
    <w:p w14:paraId="20B4FB63">
      <w:pPr>
        <w:pStyle w:val="30"/>
        <w:keepNext w:val="0"/>
        <w:keepLines w:val="0"/>
        <w:widowControl/>
        <w:numPr>
          <w:ilvl w:val="0"/>
          <w:numId w:val="82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形成文献证据表（Evidence Table）</w:t>
      </w:r>
    </w:p>
    <w:p w14:paraId="2F628C0B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六、纳入与排除标准（Inclusion/Exclusion Criteria）</w:t>
      </w:r>
    </w:p>
    <w:p w14:paraId="55CFB9C9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RWS/RCT</w:t>
      </w:r>
    </w:p>
    <w:p w14:paraId="2EC8D36D">
      <w:pPr>
        <w:pStyle w:val="30"/>
        <w:keepNext w:val="0"/>
        <w:keepLines w:val="0"/>
        <w:widowControl/>
        <w:numPr>
          <w:ilvl w:val="0"/>
          <w:numId w:val="84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纳入：近5年、临床研究、英语/中文、与终点相关</w:t>
      </w:r>
    </w:p>
    <w:p w14:paraId="3CD90777">
      <w:pPr>
        <w:pStyle w:val="30"/>
        <w:keepNext w:val="0"/>
        <w:keepLines w:val="0"/>
        <w:widowControl/>
        <w:numPr>
          <w:ilvl w:val="0"/>
          <w:numId w:val="84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排除：综述、动物实验、病例报告</w:t>
      </w:r>
    </w:p>
    <w:p w14:paraId="2695BD08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工程研究</w:t>
      </w:r>
    </w:p>
    <w:p w14:paraId="19339DC5">
      <w:pPr>
        <w:pStyle w:val="30"/>
        <w:keepNext w:val="0"/>
        <w:keepLines w:val="0"/>
        <w:widowControl/>
        <w:numPr>
          <w:ilvl w:val="0"/>
          <w:numId w:val="84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纳入：真实器械验证、实验数据齐全</w:t>
      </w:r>
    </w:p>
    <w:p w14:paraId="6A928D43">
      <w:pPr>
        <w:pStyle w:val="30"/>
        <w:keepNext w:val="0"/>
        <w:keepLines w:val="0"/>
        <w:widowControl/>
        <w:numPr>
          <w:ilvl w:val="0"/>
          <w:numId w:val="84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排除：仅仿真、无实验数据</w:t>
      </w:r>
    </w:p>
    <w:p w14:paraId="2B2BDDD2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 AI研究</w:t>
      </w:r>
    </w:p>
    <w:p w14:paraId="1E6151A3">
      <w:pPr>
        <w:pStyle w:val="30"/>
        <w:keepNext w:val="0"/>
        <w:keepLines w:val="0"/>
        <w:widowControl/>
        <w:numPr>
          <w:ilvl w:val="0"/>
          <w:numId w:val="84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纳入：公开数据集、模型评价完整、真实医学场景</w:t>
      </w:r>
    </w:p>
    <w:p w14:paraId="1F6974B4">
      <w:pPr>
        <w:pStyle w:val="30"/>
        <w:keepNext w:val="0"/>
        <w:keepLines w:val="0"/>
        <w:widowControl/>
        <w:numPr>
          <w:ilvl w:val="0"/>
          <w:numId w:val="84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排除：非医学 AI、缺乏性能指标</w:t>
      </w:r>
    </w:p>
    <w:p w14:paraId="0EECCA31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七、文献证据表模板（Evidence Table）</w:t>
      </w:r>
    </w:p>
    <w:tbl>
      <w:tblPr>
        <w:tblStyle w:val="33"/>
        <w:tblW w:w="8745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57"/>
        <w:gridCol w:w="618"/>
        <w:gridCol w:w="618"/>
        <w:gridCol w:w="1136"/>
        <w:gridCol w:w="1787"/>
        <w:gridCol w:w="1136"/>
        <w:gridCol w:w="1136"/>
        <w:gridCol w:w="1157"/>
      </w:tblGrid>
      <w:tr w14:paraId="6A7A8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1112" w:type="dxa"/>
            <w:shd w:val="clear" w:color="auto" w:fill="auto"/>
            <w:vAlign w:val="center"/>
          </w:tcPr>
          <w:p w14:paraId="10480A6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第一作者</w:t>
            </w:r>
          </w:p>
        </w:tc>
        <w:tc>
          <w:tcPr>
            <w:tcW w:w="588" w:type="dxa"/>
            <w:shd w:val="clear" w:color="auto" w:fill="auto"/>
            <w:vAlign w:val="center"/>
          </w:tcPr>
          <w:p w14:paraId="0D4D30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年份</w:t>
            </w:r>
          </w:p>
        </w:tc>
        <w:tc>
          <w:tcPr>
            <w:tcW w:w="588" w:type="dxa"/>
            <w:shd w:val="clear" w:color="auto" w:fill="auto"/>
            <w:vAlign w:val="center"/>
          </w:tcPr>
          <w:p w14:paraId="2384665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国家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509AB81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研究类型</w:t>
            </w:r>
          </w:p>
        </w:tc>
        <w:tc>
          <w:tcPr>
            <w:tcW w:w="1757" w:type="dxa"/>
            <w:shd w:val="clear" w:color="auto" w:fill="auto"/>
            <w:vAlign w:val="center"/>
          </w:tcPr>
          <w:p w14:paraId="24D78FF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样本量/数据量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05B2562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主要终点</w:t>
            </w:r>
          </w:p>
        </w:tc>
        <w:tc>
          <w:tcPr>
            <w:tcW w:w="1106" w:type="dxa"/>
            <w:shd w:val="clear" w:color="auto" w:fill="auto"/>
            <w:vAlign w:val="center"/>
          </w:tcPr>
          <w:p w14:paraId="0EB4100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关键结果</w:t>
            </w:r>
          </w:p>
        </w:tc>
        <w:tc>
          <w:tcPr>
            <w:tcW w:w="1112" w:type="dxa"/>
            <w:shd w:val="clear" w:color="auto" w:fill="auto"/>
            <w:vAlign w:val="center"/>
          </w:tcPr>
          <w:p w14:paraId="58F06C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证据等级</w:t>
            </w:r>
          </w:p>
        </w:tc>
      </w:tr>
    </w:tbl>
    <w:p w14:paraId="18FAE2E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八、输出格式要求（必须留档）</w:t>
      </w:r>
    </w:p>
    <w:p w14:paraId="4D683EB9">
      <w:pPr>
        <w:pStyle w:val="30"/>
        <w:keepNext w:val="0"/>
        <w:keepLines w:val="0"/>
        <w:widowControl/>
        <w:numPr>
          <w:ilvl w:val="0"/>
          <w:numId w:val="85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检索式全文（含每个数据库的版本号）</w:t>
      </w:r>
    </w:p>
    <w:p w14:paraId="6B8F3801">
      <w:pPr>
        <w:pStyle w:val="30"/>
        <w:keepNext w:val="0"/>
        <w:keepLines w:val="0"/>
        <w:widowControl/>
        <w:numPr>
          <w:ilvl w:val="0"/>
          <w:numId w:val="85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PRISMA 图</w:t>
      </w:r>
    </w:p>
    <w:p w14:paraId="73F409CA">
      <w:pPr>
        <w:pStyle w:val="30"/>
        <w:keepNext w:val="0"/>
        <w:keepLines w:val="0"/>
        <w:widowControl/>
        <w:numPr>
          <w:ilvl w:val="0"/>
          <w:numId w:val="85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文献证据表（Excel）</w:t>
      </w:r>
    </w:p>
    <w:p w14:paraId="371215BE">
      <w:pPr>
        <w:pStyle w:val="30"/>
        <w:keepNext w:val="0"/>
        <w:keepLines w:val="0"/>
        <w:widowControl/>
        <w:numPr>
          <w:ilvl w:val="0"/>
          <w:numId w:val="85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主题词表（Disease / Intervention / Outcome / Method）</w:t>
      </w:r>
    </w:p>
    <w:p w14:paraId="2C30936B">
      <w:pPr>
        <w:pStyle w:val="30"/>
        <w:keepNext w:val="0"/>
        <w:keepLines w:val="0"/>
        <w:widowControl/>
        <w:numPr>
          <w:ilvl w:val="0"/>
          <w:numId w:val="85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高质量核心文献 PDF 打包</w:t>
      </w:r>
    </w:p>
    <w:p w14:paraId="1F21894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九、团队分工规范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034"/>
        <w:gridCol w:w="6713"/>
      </w:tblGrid>
      <w:tr w14:paraId="30020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</w:tblPrEx>
        <w:trPr>
          <w:trHeight w:val="0" w:hRule="atLeast"/>
          <w:tblCellSpacing w:w="15" w:type="dxa"/>
          <w:jc w:val="center"/>
        </w:trPr>
        <w:tc>
          <w:tcPr>
            <w:tcW w:w="1989" w:type="dxa"/>
            <w:shd w:val="clear" w:color="auto" w:fill="auto"/>
            <w:vAlign w:val="center"/>
          </w:tcPr>
          <w:p w14:paraId="061F5C86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环节</w:t>
            </w:r>
          </w:p>
        </w:tc>
        <w:tc>
          <w:tcPr>
            <w:tcW w:w="6668" w:type="dxa"/>
            <w:shd w:val="clear" w:color="auto" w:fill="auto"/>
            <w:vAlign w:val="center"/>
          </w:tcPr>
          <w:p w14:paraId="755DFC4D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责任人</w:t>
            </w:r>
          </w:p>
        </w:tc>
      </w:tr>
      <w:tr w14:paraId="1B4D2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89" w:type="dxa"/>
            <w:shd w:val="clear" w:color="auto" w:fill="auto"/>
            <w:vAlign w:val="center"/>
          </w:tcPr>
          <w:p w14:paraId="020BD9DE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检索式构建</w:t>
            </w:r>
          </w:p>
        </w:tc>
        <w:tc>
          <w:tcPr>
            <w:tcW w:w="6668" w:type="dxa"/>
            <w:shd w:val="clear" w:color="auto" w:fill="auto"/>
            <w:vAlign w:val="center"/>
          </w:tcPr>
          <w:p w14:paraId="423E87B6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PI 负责确定概念，科研助理完成检索式</w:t>
            </w:r>
          </w:p>
        </w:tc>
      </w:tr>
      <w:tr w14:paraId="5FABA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89" w:type="dxa"/>
            <w:shd w:val="clear" w:color="auto" w:fill="auto"/>
            <w:vAlign w:val="center"/>
          </w:tcPr>
          <w:p w14:paraId="0E7BFE4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文献筛选</w:t>
            </w:r>
          </w:p>
        </w:tc>
        <w:tc>
          <w:tcPr>
            <w:tcW w:w="6668" w:type="dxa"/>
            <w:shd w:val="clear" w:color="auto" w:fill="auto"/>
            <w:vAlign w:val="center"/>
          </w:tcPr>
          <w:p w14:paraId="034088E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PI + 研究生</w:t>
            </w:r>
          </w:p>
        </w:tc>
      </w:tr>
      <w:tr w14:paraId="08C3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89" w:type="dxa"/>
            <w:shd w:val="clear" w:color="auto" w:fill="auto"/>
            <w:vAlign w:val="center"/>
          </w:tcPr>
          <w:p w14:paraId="34127C19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数据提取</w:t>
            </w:r>
          </w:p>
        </w:tc>
        <w:tc>
          <w:tcPr>
            <w:tcW w:w="6668" w:type="dxa"/>
            <w:shd w:val="clear" w:color="auto" w:fill="auto"/>
            <w:vAlign w:val="center"/>
          </w:tcPr>
          <w:p w14:paraId="27B7CC0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研究生（双人交叉）</w:t>
            </w:r>
          </w:p>
        </w:tc>
      </w:tr>
      <w:tr w14:paraId="079B8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89" w:type="dxa"/>
            <w:shd w:val="clear" w:color="auto" w:fill="auto"/>
            <w:vAlign w:val="center"/>
          </w:tcPr>
          <w:p w14:paraId="47CAF0F0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证据表复核</w:t>
            </w:r>
          </w:p>
        </w:tc>
        <w:tc>
          <w:tcPr>
            <w:tcW w:w="6668" w:type="dxa"/>
            <w:shd w:val="clear" w:color="auto" w:fill="auto"/>
            <w:vAlign w:val="center"/>
          </w:tcPr>
          <w:p w14:paraId="59A7F4A3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PI</w:t>
            </w:r>
          </w:p>
        </w:tc>
      </w:tr>
      <w:tr w14:paraId="48EA2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989" w:type="dxa"/>
            <w:shd w:val="clear" w:color="auto" w:fill="auto"/>
            <w:vAlign w:val="center"/>
          </w:tcPr>
          <w:p w14:paraId="2F3073E5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最终留档</w:t>
            </w:r>
          </w:p>
        </w:tc>
        <w:tc>
          <w:tcPr>
            <w:tcW w:w="6668" w:type="dxa"/>
            <w:shd w:val="clear" w:color="auto" w:fill="auto"/>
            <w:vAlign w:val="center"/>
          </w:tcPr>
          <w:p w14:paraId="082E45FC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科研助理</w:t>
            </w:r>
          </w:p>
        </w:tc>
      </w:tr>
    </w:tbl>
    <w:p w14:paraId="14CD99E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十、特别说明（适用于 DIDTS / PRI / PARI / PoRA-6 / SMLSP / CETC）</w:t>
      </w:r>
    </w:p>
    <w:p w14:paraId="5BF11BB0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所有文献检索必须与：</w:t>
      </w:r>
    </w:p>
    <w:p w14:paraId="7C969F6E">
      <w:pPr>
        <w:pStyle w:val="30"/>
        <w:keepNext w:val="0"/>
        <w:keepLines w:val="0"/>
        <w:widowControl/>
        <w:numPr>
          <w:ilvl w:val="0"/>
          <w:numId w:val="86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Protocol 立项依据</w:t>
      </w:r>
    </w:p>
    <w:p w14:paraId="2B2E3D3D">
      <w:pPr>
        <w:pStyle w:val="30"/>
        <w:keepNext w:val="0"/>
        <w:keepLines w:val="0"/>
        <w:widowControl/>
        <w:numPr>
          <w:ilvl w:val="0"/>
          <w:numId w:val="86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SAP（终点定义）</w:t>
      </w:r>
    </w:p>
    <w:p w14:paraId="61434D1E">
      <w:pPr>
        <w:pStyle w:val="30"/>
        <w:keepNext w:val="0"/>
        <w:keepLines w:val="0"/>
        <w:widowControl/>
        <w:numPr>
          <w:ilvl w:val="0"/>
          <w:numId w:val="86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Manuscript Skeleton（讨论部分）</w:t>
      </w:r>
    </w:p>
    <w:p w14:paraId="310EDED9">
      <w:pPr>
        <w:pStyle w:val="30"/>
        <w:keepNext w:val="0"/>
        <w:keepLines w:val="0"/>
        <w:widowControl/>
        <w:numPr>
          <w:ilvl w:val="0"/>
          <w:numId w:val="86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专利 IP Mapping（White Space） 同步更新。</w:t>
      </w:r>
    </w:p>
    <w:p w14:paraId="34A5664A">
      <w:pPr>
        <w:bidi w:val="0"/>
        <w:rPr>
          <w:rFonts w:hint="eastAsia" w:ascii="楷体" w:hAnsi="楷体" w:eastAsia="楷体" w:cs="楷体"/>
          <w:szCs w:val="21"/>
        </w:rPr>
      </w:pPr>
      <w:r>
        <w:rPr>
          <w:rFonts w:hint="eastAsia" w:ascii="楷体" w:hAnsi="楷体" w:eastAsia="楷体" w:cs="楷体"/>
        </w:rPr>
        <w:t>文献检索不是一次性任务，而是贯穿整个课题周期的 动态更新流程。</w:t>
      </w:r>
    </w:p>
    <w:p w14:paraId="1BFA0169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附件14 </w:t>
      </w:r>
      <w:r>
        <w:rPr>
          <w:rFonts w:hint="eastAsia" w:ascii="黑体" w:hAnsi="黑体" w:eastAsia="黑体" w:cs="黑体"/>
        </w:rPr>
        <w:t>数据质量核查（DQC）SOP</w:t>
      </w:r>
    </w:p>
    <w:p w14:paraId="1D5B96AD">
      <w:pPr>
        <w:pStyle w:val="168"/>
        <w:rPr>
          <w:rFonts w:hint="eastAsia" w:ascii="仿宋" w:hAnsi="仿宋" w:eastAsia="仿宋" w:cs="仿宋"/>
        </w:rPr>
      </w:pPr>
      <w:r>
        <w:rPr>
          <w:rStyle w:val="169"/>
          <w:rFonts w:hint="eastAsia" w:ascii="仿宋" w:hAnsi="仿宋" w:eastAsia="仿宋" w:cs="仿宋"/>
        </w:rPr>
        <w:t xml:space="preserve"> </w:t>
      </w:r>
      <w:r>
        <w:rPr>
          <w:rStyle w:val="169"/>
          <w:rFonts w:hint="eastAsia" w:ascii="楷体" w:hAnsi="楷体" w:eastAsia="楷体" w:cs="楷体"/>
        </w:rPr>
        <w:t xml:space="preserve"> 数据入库（DIDTS链）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|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v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季度数据质控（DQC）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|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v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缺失率&lt;5%？——否→预警+补录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|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是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        v</w:t>
      </w:r>
      <w:r>
        <w:rPr>
          <w:rFonts w:hint="eastAsia" w:ascii="楷体" w:hAnsi="楷体" w:eastAsia="楷体" w:cs="楷体"/>
        </w:rPr>
        <w:br w:type="textWrapping"/>
      </w:r>
      <w:r>
        <w:rPr>
          <w:rStyle w:val="169"/>
          <w:rFonts w:hint="eastAsia" w:ascii="楷体" w:hAnsi="楷体" w:eastAsia="楷体" w:cs="楷体"/>
        </w:rPr>
        <w:t xml:space="preserve">  进入论文与专利前置化阶段</w:t>
      </w:r>
    </w:p>
    <w:p w14:paraId="0FABE982">
      <w:pPr>
        <w:pStyle w:val="5"/>
        <w:bidi w:val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附件15 </w:t>
      </w:r>
      <w:r>
        <w:rPr>
          <w:rFonts w:hint="eastAsia" w:ascii="黑体" w:hAnsi="黑体" w:eastAsia="黑体" w:cs="黑体"/>
        </w:rPr>
        <w:t>随访流程 SOP</w:t>
      </w:r>
    </w:p>
    <w:p w14:paraId="4BF48242">
      <w:pPr>
        <w:pStyle w:val="30"/>
        <w:keepNext w:val="0"/>
        <w:keepLines w:val="0"/>
        <w:widowControl/>
        <w:suppressLineNumbers w:val="0"/>
        <w:ind w:firstLine="420" w:firstLineChars="20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 xml:space="preserve">适用于所有真实世界研究（RWS）、术式相关研究（DIDTS、空肠间置术）、围术期监测研究（PRI、PARI、PoRA-6）、器械/AI 项目中涉及临床随访的数据采集，确保随访 </w:t>
      </w:r>
      <w:r>
        <w:rPr>
          <w:rStyle w:val="134"/>
          <w:rFonts w:hint="eastAsia" w:ascii="楷体" w:hAnsi="楷体" w:eastAsia="楷体" w:cs="楷体"/>
          <w:sz w:val="21"/>
          <w:szCs w:val="21"/>
        </w:rPr>
        <w:t>标准化、可追溯、可量化</w:t>
      </w:r>
      <w:r>
        <w:rPr>
          <w:rFonts w:hint="eastAsia" w:ascii="楷体" w:hAnsi="楷体" w:eastAsia="楷体" w:cs="楷体"/>
          <w:sz w:val="21"/>
          <w:szCs w:val="21"/>
        </w:rPr>
        <w:t>。</w:t>
      </w:r>
    </w:p>
    <w:p w14:paraId="6D3BA8B2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一、随访总体目标</w:t>
      </w:r>
    </w:p>
    <w:p w14:paraId="13010C2C">
      <w:pPr>
        <w:pStyle w:val="30"/>
        <w:keepNext w:val="0"/>
        <w:keepLines w:val="0"/>
        <w:widowControl/>
        <w:numPr>
          <w:ilvl w:val="0"/>
          <w:numId w:val="87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形成统一规范的随访流程，提高数据质量与可比性。</w:t>
      </w:r>
    </w:p>
    <w:p w14:paraId="797C3DEE">
      <w:pPr>
        <w:pStyle w:val="30"/>
        <w:keepNext w:val="0"/>
        <w:keepLines w:val="0"/>
        <w:widowControl/>
        <w:numPr>
          <w:ilvl w:val="0"/>
          <w:numId w:val="87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支持 DIDTS 数据库链建设及各课题的真实世界证据生成。</w:t>
      </w:r>
    </w:p>
    <w:p w14:paraId="516BB2C3">
      <w:pPr>
        <w:pStyle w:val="30"/>
        <w:keepNext w:val="0"/>
        <w:keepLines w:val="0"/>
        <w:widowControl/>
        <w:numPr>
          <w:ilvl w:val="0"/>
          <w:numId w:val="87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实现随访数据的结构化、可审计、可用于模型训练（AI/PRI/PARI 等）。</w:t>
      </w:r>
    </w:p>
    <w:p w14:paraId="352BE0B8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二、随访对象与范围</w:t>
      </w:r>
    </w:p>
    <w:p w14:paraId="4EEF72C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随访对象（按研究类型）</w:t>
      </w:r>
    </w:p>
    <w:p w14:paraId="02BFCD59">
      <w:pPr>
        <w:pStyle w:val="30"/>
        <w:keepNext w:val="0"/>
        <w:keepLines w:val="0"/>
        <w:widowControl/>
        <w:numPr>
          <w:ilvl w:val="0"/>
          <w:numId w:val="8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术式类（空肠间置术、DIDTS）</w:t>
      </w:r>
      <w:r>
        <w:rPr>
          <w:rFonts w:hint="eastAsia" w:ascii="楷体" w:hAnsi="楷体" w:eastAsia="楷体" w:cs="楷体"/>
          <w:sz w:val="21"/>
          <w:szCs w:val="21"/>
        </w:rPr>
        <w:t>：术后所有患者（近端/远端/全胃切除）。</w:t>
      </w:r>
    </w:p>
    <w:p w14:paraId="32DC7D0B">
      <w:pPr>
        <w:pStyle w:val="30"/>
        <w:keepNext w:val="0"/>
        <w:keepLines w:val="0"/>
        <w:widowControl/>
        <w:numPr>
          <w:ilvl w:val="0"/>
          <w:numId w:val="8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围术期恢复类（PRI、PARI、PoRA-6）</w:t>
      </w:r>
      <w:r>
        <w:rPr>
          <w:rFonts w:hint="eastAsia" w:ascii="楷体" w:hAnsi="楷体" w:eastAsia="楷体" w:cs="楷体"/>
          <w:sz w:val="21"/>
          <w:szCs w:val="21"/>
        </w:rPr>
        <w:t>：符合入组标准的围术期患者。</w:t>
      </w:r>
    </w:p>
    <w:p w14:paraId="093A18D6">
      <w:pPr>
        <w:pStyle w:val="30"/>
        <w:keepNext w:val="0"/>
        <w:keepLines w:val="0"/>
        <w:widowControl/>
        <w:numPr>
          <w:ilvl w:val="0"/>
          <w:numId w:val="8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AI / 工程类研究（如 C-EMR、SMLSP）</w:t>
      </w:r>
      <w:r>
        <w:rPr>
          <w:rFonts w:hint="eastAsia" w:ascii="楷体" w:hAnsi="楷体" w:eastAsia="楷体" w:cs="楷体"/>
          <w:sz w:val="21"/>
          <w:szCs w:val="21"/>
        </w:rPr>
        <w:t>：涉及患者数据的部分严格按伦理要求执行。</w:t>
      </w:r>
    </w:p>
    <w:p w14:paraId="4E372045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随访时间节点（统一）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44"/>
        <w:gridCol w:w="5603"/>
      </w:tblGrid>
      <w:tr w14:paraId="2BAE9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099" w:type="dxa"/>
            <w:shd w:val="clear" w:color="auto" w:fill="auto"/>
            <w:vAlign w:val="center"/>
          </w:tcPr>
          <w:p w14:paraId="7F4CF4C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时间点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27E07DD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目的</w:t>
            </w:r>
          </w:p>
        </w:tc>
      </w:tr>
      <w:tr w14:paraId="67BB4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099" w:type="dxa"/>
            <w:shd w:val="clear" w:color="auto" w:fill="auto"/>
            <w:vAlign w:val="center"/>
          </w:tcPr>
          <w:p w14:paraId="29E0C23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术后出院前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738C35E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基线随访、短期恢复</w:t>
            </w:r>
          </w:p>
        </w:tc>
      </w:tr>
      <w:tr w14:paraId="441C3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099" w:type="dxa"/>
            <w:shd w:val="clear" w:color="auto" w:fill="auto"/>
            <w:vAlign w:val="center"/>
          </w:tcPr>
          <w:p w14:paraId="6E7DF8A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术后 1 月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2B832F1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早期恢复、并发症</w:t>
            </w:r>
          </w:p>
        </w:tc>
      </w:tr>
      <w:tr w14:paraId="5D98D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099" w:type="dxa"/>
            <w:shd w:val="clear" w:color="auto" w:fill="auto"/>
            <w:vAlign w:val="center"/>
          </w:tcPr>
          <w:p w14:paraId="1911C46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术后 3 月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00B96C1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中期恢复、生活质量</w:t>
            </w:r>
          </w:p>
        </w:tc>
      </w:tr>
      <w:tr w14:paraId="53A4D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099" w:type="dxa"/>
            <w:shd w:val="clear" w:color="auto" w:fill="auto"/>
            <w:vAlign w:val="center"/>
          </w:tcPr>
          <w:p w14:paraId="065B4A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术后 6 月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654CED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消化道功能、再入院情况</w:t>
            </w:r>
          </w:p>
        </w:tc>
      </w:tr>
      <w:tr w14:paraId="161E99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099" w:type="dxa"/>
            <w:shd w:val="clear" w:color="auto" w:fill="auto"/>
            <w:vAlign w:val="center"/>
          </w:tcPr>
          <w:p w14:paraId="7B167A4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术后 12 月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60DF014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长期疗效、营养状态</w:t>
            </w:r>
          </w:p>
        </w:tc>
      </w:tr>
      <w:tr w14:paraId="144C5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099" w:type="dxa"/>
            <w:shd w:val="clear" w:color="auto" w:fill="auto"/>
            <w:vAlign w:val="center"/>
          </w:tcPr>
          <w:p w14:paraId="24D025B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术后每 12 月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0969D5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长期随访（至 5 年）</w:t>
            </w:r>
          </w:p>
        </w:tc>
      </w:tr>
    </w:tbl>
    <w:p w14:paraId="57A9A81F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（可根据不同课题微调，但应保持统一字段体系）</w:t>
      </w:r>
    </w:p>
    <w:p w14:paraId="6301F95A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三、随访方式</w:t>
      </w:r>
    </w:p>
    <w:p w14:paraId="592BC25A">
      <w:pPr>
        <w:pStyle w:val="30"/>
        <w:keepNext w:val="0"/>
        <w:keepLines w:val="0"/>
        <w:widowControl/>
        <w:numPr>
          <w:ilvl w:val="0"/>
          <w:numId w:val="89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门诊随访</w:t>
      </w:r>
      <w:r>
        <w:rPr>
          <w:rFonts w:hint="eastAsia" w:ascii="楷体" w:hAnsi="楷体" w:eastAsia="楷体" w:cs="楷体"/>
          <w:sz w:val="21"/>
          <w:szCs w:val="21"/>
        </w:rPr>
        <w:t>（优先）：由 PI 或随访护士完成。</w:t>
      </w:r>
    </w:p>
    <w:p w14:paraId="4D5D897E">
      <w:pPr>
        <w:pStyle w:val="30"/>
        <w:keepNext w:val="0"/>
        <w:keepLines w:val="0"/>
        <w:widowControl/>
        <w:numPr>
          <w:ilvl w:val="0"/>
          <w:numId w:val="89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电话随访</w:t>
      </w:r>
      <w:r>
        <w:rPr>
          <w:rFonts w:hint="eastAsia" w:ascii="楷体" w:hAnsi="楷体" w:eastAsia="楷体" w:cs="楷体"/>
          <w:sz w:val="21"/>
          <w:szCs w:val="21"/>
        </w:rPr>
        <w:t>：使用标准化问卷。</w:t>
      </w:r>
    </w:p>
    <w:p w14:paraId="3A6A8D46">
      <w:pPr>
        <w:pStyle w:val="30"/>
        <w:keepNext w:val="0"/>
        <w:keepLines w:val="0"/>
        <w:widowControl/>
        <w:numPr>
          <w:ilvl w:val="0"/>
          <w:numId w:val="89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电子随访</w:t>
      </w:r>
      <w:r>
        <w:rPr>
          <w:rFonts w:hint="eastAsia" w:ascii="楷体" w:hAnsi="楷体" w:eastAsia="楷体" w:cs="楷体"/>
          <w:sz w:val="21"/>
          <w:szCs w:val="21"/>
        </w:rPr>
        <w:t>：随访小程序/短信/医院 App（如未来接入 C-EMR）。</w:t>
      </w:r>
    </w:p>
    <w:p w14:paraId="3FF25E4C">
      <w:pPr>
        <w:pStyle w:val="30"/>
        <w:keepNext w:val="0"/>
        <w:keepLines w:val="0"/>
        <w:widowControl/>
        <w:numPr>
          <w:ilvl w:val="0"/>
          <w:numId w:val="89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住院信息追踪</w:t>
      </w:r>
      <w:r>
        <w:rPr>
          <w:rFonts w:hint="eastAsia" w:ascii="楷体" w:hAnsi="楷体" w:eastAsia="楷体" w:cs="楷体"/>
          <w:sz w:val="21"/>
          <w:szCs w:val="21"/>
        </w:rPr>
        <w:t>：自动从 HIS 抽取再入院与手术信息。</w:t>
      </w:r>
    </w:p>
    <w:p w14:paraId="43A8BE6B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四、随访流程（SOP 流程图）</w:t>
      </w:r>
    </w:p>
    <w:p w14:paraId="7227B9DC"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患者出院 → 建立随访档案 → 设定自动提醒 → 到期随访 → 数据录入 → 质控 → 入库</w:t>
      </w:r>
    </w:p>
    <w:p w14:paraId="7B83AA0B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详细流程说明</w:t>
      </w:r>
    </w:p>
    <w:p w14:paraId="22899739">
      <w:pPr>
        <w:pStyle w:val="30"/>
        <w:keepNext w:val="0"/>
        <w:keepLines w:val="0"/>
        <w:widowControl/>
        <w:numPr>
          <w:ilvl w:val="0"/>
          <w:numId w:val="90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出院建档</w:t>
      </w:r>
      <w:r>
        <w:rPr>
          <w:rFonts w:hint="eastAsia" w:ascii="楷体" w:hAnsi="楷体" w:eastAsia="楷体" w:cs="楷体"/>
          <w:sz w:val="21"/>
          <w:szCs w:val="21"/>
        </w:rPr>
        <w:t>：科研助理建立随访档案（含唯一 patient_id）。</w:t>
      </w:r>
    </w:p>
    <w:p w14:paraId="1A63BA4A">
      <w:pPr>
        <w:pStyle w:val="30"/>
        <w:keepNext w:val="0"/>
        <w:keepLines w:val="0"/>
        <w:widowControl/>
        <w:numPr>
          <w:ilvl w:val="0"/>
          <w:numId w:val="90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提醒机制</w:t>
      </w:r>
      <w:r>
        <w:rPr>
          <w:rFonts w:hint="eastAsia" w:ascii="楷体" w:hAnsi="楷体" w:eastAsia="楷体" w:cs="楷体"/>
          <w:sz w:val="21"/>
          <w:szCs w:val="21"/>
        </w:rPr>
        <w:t>：使用随访日历，每周自动推送本周需随访患者列表。</w:t>
      </w:r>
    </w:p>
    <w:p w14:paraId="3028EB94">
      <w:pPr>
        <w:pStyle w:val="30"/>
        <w:keepNext w:val="0"/>
        <w:keepLines w:val="0"/>
        <w:widowControl/>
        <w:numPr>
          <w:ilvl w:val="0"/>
          <w:numId w:val="90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随访实施</w:t>
      </w:r>
      <w:r>
        <w:rPr>
          <w:rFonts w:hint="eastAsia" w:ascii="楷体" w:hAnsi="楷体" w:eastAsia="楷体" w:cs="楷体"/>
          <w:sz w:val="21"/>
          <w:szCs w:val="21"/>
        </w:rPr>
        <w:t>：按随访表内容逐项填写，禁止遗漏。</w:t>
      </w:r>
    </w:p>
    <w:p w14:paraId="7846700C">
      <w:pPr>
        <w:pStyle w:val="30"/>
        <w:keepNext w:val="0"/>
        <w:keepLines w:val="0"/>
        <w:widowControl/>
        <w:numPr>
          <w:ilvl w:val="0"/>
          <w:numId w:val="90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数据录入</w:t>
      </w:r>
      <w:r>
        <w:rPr>
          <w:rFonts w:hint="eastAsia" w:ascii="楷体" w:hAnsi="楷体" w:eastAsia="楷体" w:cs="楷体"/>
          <w:sz w:val="21"/>
          <w:szCs w:val="21"/>
        </w:rPr>
        <w:t>：录入至统一数据库平台（DIDTS / PRI / PARI）。</w:t>
      </w:r>
    </w:p>
    <w:p w14:paraId="033A163B">
      <w:pPr>
        <w:pStyle w:val="30"/>
        <w:keepNext w:val="0"/>
        <w:keepLines w:val="0"/>
        <w:widowControl/>
        <w:numPr>
          <w:ilvl w:val="0"/>
          <w:numId w:val="90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质控（DQC）</w:t>
      </w:r>
      <w:r>
        <w:rPr>
          <w:rFonts w:hint="eastAsia" w:ascii="楷体" w:hAnsi="楷体" w:eastAsia="楷体" w:cs="楷体"/>
          <w:sz w:val="21"/>
          <w:szCs w:val="21"/>
        </w:rPr>
        <w:t>：自动检查空值、逻辑冲突、异常值。</w:t>
      </w:r>
    </w:p>
    <w:p w14:paraId="54445078">
      <w:pPr>
        <w:pStyle w:val="30"/>
        <w:keepNext w:val="0"/>
        <w:keepLines w:val="0"/>
        <w:widowControl/>
        <w:numPr>
          <w:ilvl w:val="0"/>
          <w:numId w:val="90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确认入库</w:t>
      </w:r>
      <w:r>
        <w:rPr>
          <w:rFonts w:hint="eastAsia" w:ascii="楷体" w:hAnsi="楷体" w:eastAsia="楷体" w:cs="楷体"/>
          <w:sz w:val="21"/>
          <w:szCs w:val="21"/>
        </w:rPr>
        <w:t>：科研助理审核后方可入库。</w:t>
      </w:r>
    </w:p>
    <w:p w14:paraId="5C348138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五、随访表（Follow-up Form）内容结构</w:t>
      </w:r>
    </w:p>
    <w:p w14:paraId="52ABB283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基本信息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89"/>
        <w:gridCol w:w="5058"/>
      </w:tblGrid>
      <w:tr w14:paraId="1FCD3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644" w:type="dxa"/>
            <w:shd w:val="clear" w:color="auto" w:fill="auto"/>
            <w:vAlign w:val="center"/>
          </w:tcPr>
          <w:p w14:paraId="4C7A8A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字段</w:t>
            </w:r>
          </w:p>
        </w:tc>
        <w:tc>
          <w:tcPr>
            <w:tcW w:w="5013" w:type="dxa"/>
            <w:shd w:val="clear" w:color="auto" w:fill="auto"/>
            <w:vAlign w:val="center"/>
          </w:tcPr>
          <w:p w14:paraId="1AD37E5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内容</w:t>
            </w:r>
          </w:p>
        </w:tc>
      </w:tr>
      <w:tr w14:paraId="144D03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44" w:type="dxa"/>
            <w:shd w:val="clear" w:color="auto" w:fill="auto"/>
            <w:vAlign w:val="center"/>
          </w:tcPr>
          <w:p w14:paraId="1D38D1C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patient_id</w:t>
            </w:r>
          </w:p>
        </w:tc>
        <w:tc>
          <w:tcPr>
            <w:tcW w:w="5013" w:type="dxa"/>
            <w:shd w:val="clear" w:color="auto" w:fill="auto"/>
            <w:vAlign w:val="center"/>
          </w:tcPr>
          <w:p w14:paraId="2B629F3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唯一编号</w:t>
            </w:r>
          </w:p>
        </w:tc>
      </w:tr>
      <w:tr w14:paraId="3E4EE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44" w:type="dxa"/>
            <w:shd w:val="clear" w:color="auto" w:fill="auto"/>
            <w:vAlign w:val="center"/>
          </w:tcPr>
          <w:p w14:paraId="396AB50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随访方式</w:t>
            </w:r>
          </w:p>
        </w:tc>
        <w:tc>
          <w:tcPr>
            <w:tcW w:w="5013" w:type="dxa"/>
            <w:shd w:val="clear" w:color="auto" w:fill="auto"/>
            <w:vAlign w:val="center"/>
          </w:tcPr>
          <w:p w14:paraId="794020F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门诊/电话/电子</w:t>
            </w:r>
          </w:p>
        </w:tc>
      </w:tr>
      <w:tr w14:paraId="2C5A6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44" w:type="dxa"/>
            <w:shd w:val="clear" w:color="auto" w:fill="auto"/>
            <w:vAlign w:val="center"/>
          </w:tcPr>
          <w:p w14:paraId="23D4883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随访日期</w:t>
            </w:r>
          </w:p>
        </w:tc>
        <w:tc>
          <w:tcPr>
            <w:tcW w:w="5013" w:type="dxa"/>
            <w:shd w:val="clear" w:color="auto" w:fill="auto"/>
            <w:vAlign w:val="center"/>
          </w:tcPr>
          <w:p w14:paraId="64A14FF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YYYY-MM-DD</w:t>
            </w:r>
          </w:p>
        </w:tc>
      </w:tr>
      <w:tr w14:paraId="2F3074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44" w:type="dxa"/>
            <w:shd w:val="clear" w:color="auto" w:fill="auto"/>
            <w:vAlign w:val="center"/>
          </w:tcPr>
          <w:p w14:paraId="1570ED1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随访人员</w:t>
            </w:r>
          </w:p>
        </w:tc>
        <w:tc>
          <w:tcPr>
            <w:tcW w:w="5013" w:type="dxa"/>
            <w:shd w:val="clear" w:color="auto" w:fill="auto"/>
            <w:vAlign w:val="center"/>
          </w:tcPr>
          <w:p w14:paraId="1FCCA38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姓名</w:t>
            </w:r>
          </w:p>
        </w:tc>
      </w:tr>
    </w:tbl>
    <w:p w14:paraId="4F560F27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症状与体征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01"/>
        <w:gridCol w:w="5946"/>
      </w:tblGrid>
      <w:tr w14:paraId="1A361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756" w:type="dxa"/>
            <w:shd w:val="clear" w:color="auto" w:fill="auto"/>
            <w:vAlign w:val="center"/>
          </w:tcPr>
          <w:p w14:paraId="2A8CB0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变量</w:t>
            </w:r>
          </w:p>
        </w:tc>
        <w:tc>
          <w:tcPr>
            <w:tcW w:w="5901" w:type="dxa"/>
            <w:shd w:val="clear" w:color="auto" w:fill="auto"/>
            <w:vAlign w:val="center"/>
          </w:tcPr>
          <w:p w14:paraId="2C87532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填写内容</w:t>
            </w:r>
          </w:p>
        </w:tc>
      </w:tr>
      <w:tr w14:paraId="0DFCD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56" w:type="dxa"/>
            <w:shd w:val="clear" w:color="auto" w:fill="auto"/>
            <w:vAlign w:val="center"/>
          </w:tcPr>
          <w:p w14:paraId="77DD9C9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腹痛</w:t>
            </w:r>
          </w:p>
        </w:tc>
        <w:tc>
          <w:tcPr>
            <w:tcW w:w="5901" w:type="dxa"/>
            <w:shd w:val="clear" w:color="auto" w:fill="auto"/>
            <w:vAlign w:val="center"/>
          </w:tcPr>
          <w:p w14:paraId="120FC2B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有/无，程度（0–10）</w:t>
            </w:r>
          </w:p>
        </w:tc>
      </w:tr>
      <w:tr w14:paraId="04749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56" w:type="dxa"/>
            <w:shd w:val="clear" w:color="auto" w:fill="auto"/>
            <w:vAlign w:val="center"/>
          </w:tcPr>
          <w:p w14:paraId="146658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反流症状</w:t>
            </w:r>
          </w:p>
        </w:tc>
        <w:tc>
          <w:tcPr>
            <w:tcW w:w="5901" w:type="dxa"/>
            <w:shd w:val="clear" w:color="auto" w:fill="auto"/>
            <w:vAlign w:val="center"/>
          </w:tcPr>
          <w:p w14:paraId="7CDFFA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有/无，频率</w:t>
            </w:r>
          </w:p>
        </w:tc>
      </w:tr>
      <w:tr w14:paraId="0A2729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56" w:type="dxa"/>
            <w:shd w:val="clear" w:color="auto" w:fill="auto"/>
            <w:vAlign w:val="center"/>
          </w:tcPr>
          <w:p w14:paraId="12C97CF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恶心/呕吐</w:t>
            </w:r>
          </w:p>
        </w:tc>
        <w:tc>
          <w:tcPr>
            <w:tcW w:w="5901" w:type="dxa"/>
            <w:shd w:val="clear" w:color="auto" w:fill="auto"/>
            <w:vAlign w:val="center"/>
          </w:tcPr>
          <w:p w14:paraId="4CACAEB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有/无</w:t>
            </w:r>
          </w:p>
        </w:tc>
      </w:tr>
      <w:tr w14:paraId="3576A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756" w:type="dxa"/>
            <w:shd w:val="clear" w:color="auto" w:fill="auto"/>
            <w:vAlign w:val="center"/>
          </w:tcPr>
          <w:p w14:paraId="72AE288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排便情况</w:t>
            </w:r>
          </w:p>
        </w:tc>
        <w:tc>
          <w:tcPr>
            <w:tcW w:w="5901" w:type="dxa"/>
            <w:shd w:val="clear" w:color="auto" w:fill="auto"/>
            <w:vAlign w:val="center"/>
          </w:tcPr>
          <w:p w14:paraId="4F72DCC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正常/便秘/稀便</w:t>
            </w:r>
          </w:p>
        </w:tc>
      </w:tr>
    </w:tbl>
    <w:p w14:paraId="16747259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 术式类特异性指标（空肠间置 / DIDTS）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44"/>
        <w:gridCol w:w="5603"/>
      </w:tblGrid>
      <w:tr w14:paraId="6A8F16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099" w:type="dxa"/>
            <w:shd w:val="clear" w:color="auto" w:fill="auto"/>
            <w:vAlign w:val="center"/>
          </w:tcPr>
          <w:p w14:paraId="14BF1B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27C29ED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说明</w:t>
            </w:r>
          </w:p>
        </w:tc>
      </w:tr>
      <w:tr w14:paraId="2C1D9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099" w:type="dxa"/>
            <w:shd w:val="clear" w:color="auto" w:fill="auto"/>
            <w:vAlign w:val="center"/>
          </w:tcPr>
          <w:p w14:paraId="4E6692C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胆汁反流评分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77BC59B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量表 0–10</w:t>
            </w:r>
          </w:p>
        </w:tc>
      </w:tr>
      <w:tr w14:paraId="5B802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099" w:type="dxa"/>
            <w:shd w:val="clear" w:color="auto" w:fill="auto"/>
            <w:vAlign w:val="center"/>
          </w:tcPr>
          <w:p w14:paraId="6059F6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营养指标变化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3B6383A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体重、白蛋白、前白蛋白</w:t>
            </w:r>
          </w:p>
        </w:tc>
      </w:tr>
      <w:tr w14:paraId="1259D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099" w:type="dxa"/>
            <w:shd w:val="clear" w:color="auto" w:fill="auto"/>
            <w:vAlign w:val="center"/>
          </w:tcPr>
          <w:p w14:paraId="5A9DDF8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上消化道症状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0868A3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GerdQ</w:t>
            </w:r>
          </w:p>
        </w:tc>
      </w:tr>
      <w:tr w14:paraId="64BC1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099" w:type="dxa"/>
            <w:shd w:val="clear" w:color="auto" w:fill="auto"/>
            <w:vAlign w:val="center"/>
          </w:tcPr>
          <w:p w14:paraId="4190BDA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饮食耐受</w:t>
            </w:r>
          </w:p>
        </w:tc>
        <w:tc>
          <w:tcPr>
            <w:tcW w:w="5558" w:type="dxa"/>
            <w:shd w:val="clear" w:color="auto" w:fill="auto"/>
            <w:vAlign w:val="center"/>
          </w:tcPr>
          <w:p w14:paraId="5BBAEC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良好/一般/差</w:t>
            </w:r>
          </w:p>
        </w:tc>
      </w:tr>
    </w:tbl>
    <w:p w14:paraId="1352AAA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4. 围术期恢复类（PRI / PARI / PoRA-6）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373"/>
        <w:gridCol w:w="4374"/>
      </w:tblGrid>
      <w:tr w14:paraId="2269A8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4329" w:type="dxa"/>
            <w:shd w:val="clear" w:color="auto" w:fill="auto"/>
            <w:vAlign w:val="center"/>
          </w:tcPr>
          <w:p w14:paraId="4195688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63F7F1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内容</w:t>
            </w:r>
          </w:p>
        </w:tc>
      </w:tr>
      <w:tr w14:paraId="6031D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29" w:type="dxa"/>
            <w:shd w:val="clear" w:color="auto" w:fill="auto"/>
            <w:vAlign w:val="center"/>
          </w:tcPr>
          <w:p w14:paraId="50EA591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疼痛评分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39B0897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NRS（0–10）</w:t>
            </w:r>
          </w:p>
        </w:tc>
      </w:tr>
      <w:tr w14:paraId="39518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29" w:type="dxa"/>
            <w:shd w:val="clear" w:color="auto" w:fill="auto"/>
            <w:vAlign w:val="center"/>
          </w:tcPr>
          <w:p w14:paraId="180AD0D4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活动能力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394FAFE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步数 / 6MWT</w:t>
            </w:r>
          </w:p>
        </w:tc>
      </w:tr>
      <w:tr w14:paraId="71D5E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29" w:type="dxa"/>
            <w:shd w:val="clear" w:color="auto" w:fill="auto"/>
            <w:vAlign w:val="center"/>
          </w:tcPr>
          <w:p w14:paraId="7F453F1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睡眠质量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2CCB2D7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量表</w:t>
            </w:r>
          </w:p>
        </w:tc>
      </w:tr>
      <w:tr w14:paraId="0E29B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29" w:type="dxa"/>
            <w:shd w:val="clear" w:color="auto" w:fill="auto"/>
            <w:vAlign w:val="center"/>
          </w:tcPr>
          <w:p w14:paraId="66153BC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呼吸/循环指标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1957E72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生命体征</w:t>
            </w:r>
          </w:p>
        </w:tc>
      </w:tr>
      <w:tr w14:paraId="3E769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329" w:type="dxa"/>
            <w:shd w:val="clear" w:color="auto" w:fill="auto"/>
            <w:vAlign w:val="center"/>
          </w:tcPr>
          <w:p w14:paraId="0A9741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并发症</w:t>
            </w:r>
          </w:p>
        </w:tc>
        <w:tc>
          <w:tcPr>
            <w:tcW w:w="4329" w:type="dxa"/>
            <w:shd w:val="clear" w:color="auto" w:fill="auto"/>
            <w:vAlign w:val="center"/>
          </w:tcPr>
          <w:p w14:paraId="338FBD0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Clavien-Dindo</w:t>
            </w:r>
          </w:p>
        </w:tc>
      </w:tr>
    </w:tbl>
    <w:p w14:paraId="2BEEE4F4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5. 再入院与再干预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86"/>
        <w:gridCol w:w="5861"/>
      </w:tblGrid>
      <w:tr w14:paraId="6D8011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2841" w:type="dxa"/>
            <w:shd w:val="clear" w:color="auto" w:fill="auto"/>
            <w:vAlign w:val="center"/>
          </w:tcPr>
          <w:p w14:paraId="05A2894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内容</w:t>
            </w:r>
          </w:p>
        </w:tc>
        <w:tc>
          <w:tcPr>
            <w:tcW w:w="5816" w:type="dxa"/>
            <w:shd w:val="clear" w:color="auto" w:fill="auto"/>
            <w:vAlign w:val="center"/>
          </w:tcPr>
          <w:p w14:paraId="48ACDFD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填写</w:t>
            </w:r>
          </w:p>
        </w:tc>
      </w:tr>
      <w:tr w14:paraId="18589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841" w:type="dxa"/>
            <w:shd w:val="clear" w:color="auto" w:fill="auto"/>
            <w:vAlign w:val="center"/>
          </w:tcPr>
          <w:p w14:paraId="716891B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再入院</w:t>
            </w:r>
          </w:p>
        </w:tc>
        <w:tc>
          <w:tcPr>
            <w:tcW w:w="5816" w:type="dxa"/>
            <w:shd w:val="clear" w:color="auto" w:fill="auto"/>
            <w:vAlign w:val="center"/>
          </w:tcPr>
          <w:p w14:paraId="32D705C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否，原因</w:t>
            </w:r>
          </w:p>
        </w:tc>
      </w:tr>
      <w:tr w14:paraId="1B4F7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2841" w:type="dxa"/>
            <w:shd w:val="clear" w:color="auto" w:fill="auto"/>
            <w:vAlign w:val="center"/>
          </w:tcPr>
          <w:p w14:paraId="0D2F25F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再手术</w:t>
            </w:r>
          </w:p>
        </w:tc>
        <w:tc>
          <w:tcPr>
            <w:tcW w:w="5816" w:type="dxa"/>
            <w:shd w:val="clear" w:color="auto" w:fill="auto"/>
            <w:vAlign w:val="center"/>
          </w:tcPr>
          <w:p w14:paraId="3F695F9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是 / 否</w:t>
            </w:r>
          </w:p>
        </w:tc>
      </w:tr>
    </w:tbl>
    <w:p w14:paraId="18622802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6. 生活质量（QOL）</w:t>
      </w:r>
    </w:p>
    <w:p w14:paraId="2882ABE3">
      <w:pPr>
        <w:pStyle w:val="30"/>
        <w:keepNext w:val="0"/>
        <w:keepLines w:val="0"/>
        <w:widowControl/>
        <w:numPr>
          <w:ilvl w:val="0"/>
          <w:numId w:val="91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EORTC QLQ-C30 或 GI 特异性量表</w:t>
      </w:r>
    </w:p>
    <w:p w14:paraId="226E32E1">
      <w:pPr>
        <w:pStyle w:val="30"/>
        <w:keepNext w:val="0"/>
        <w:keepLines w:val="0"/>
        <w:widowControl/>
        <w:numPr>
          <w:ilvl w:val="0"/>
          <w:numId w:val="91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评分结果结构化录入</w:t>
      </w:r>
    </w:p>
    <w:p w14:paraId="1022DFD2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7. 实验室与影像（如适用）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745"/>
        <w:gridCol w:w="4002"/>
      </w:tblGrid>
      <w:tr w14:paraId="2513E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4700" w:type="dxa"/>
            <w:shd w:val="clear" w:color="auto" w:fill="auto"/>
            <w:vAlign w:val="center"/>
          </w:tcPr>
          <w:p w14:paraId="445B8C6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指标</w:t>
            </w:r>
          </w:p>
        </w:tc>
        <w:tc>
          <w:tcPr>
            <w:tcW w:w="3957" w:type="dxa"/>
            <w:shd w:val="clear" w:color="auto" w:fill="auto"/>
            <w:vAlign w:val="center"/>
          </w:tcPr>
          <w:p w14:paraId="6D87C03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内容</w:t>
            </w:r>
          </w:p>
        </w:tc>
      </w:tr>
      <w:tr w14:paraId="112F3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700" w:type="dxa"/>
            <w:shd w:val="clear" w:color="auto" w:fill="auto"/>
            <w:vAlign w:val="center"/>
          </w:tcPr>
          <w:p w14:paraId="41D7435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Hb</w:t>
            </w:r>
          </w:p>
        </w:tc>
        <w:tc>
          <w:tcPr>
            <w:tcW w:w="3957" w:type="dxa"/>
            <w:shd w:val="clear" w:color="auto" w:fill="auto"/>
            <w:vAlign w:val="center"/>
          </w:tcPr>
          <w:p w14:paraId="36A6C62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g/L</w:t>
            </w:r>
          </w:p>
        </w:tc>
      </w:tr>
      <w:tr w14:paraId="6CCFB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700" w:type="dxa"/>
            <w:shd w:val="clear" w:color="auto" w:fill="auto"/>
            <w:vAlign w:val="center"/>
          </w:tcPr>
          <w:p w14:paraId="6557A99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Alb</w:t>
            </w:r>
          </w:p>
        </w:tc>
        <w:tc>
          <w:tcPr>
            <w:tcW w:w="3957" w:type="dxa"/>
            <w:shd w:val="clear" w:color="auto" w:fill="auto"/>
            <w:vAlign w:val="center"/>
          </w:tcPr>
          <w:p w14:paraId="2132DAAC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g/L</w:t>
            </w:r>
          </w:p>
        </w:tc>
      </w:tr>
      <w:tr w14:paraId="222A9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700" w:type="dxa"/>
            <w:shd w:val="clear" w:color="auto" w:fill="auto"/>
            <w:vAlign w:val="center"/>
          </w:tcPr>
          <w:p w14:paraId="78D1E34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影像复查结果</w:t>
            </w:r>
          </w:p>
        </w:tc>
        <w:tc>
          <w:tcPr>
            <w:tcW w:w="3957" w:type="dxa"/>
            <w:shd w:val="clear" w:color="auto" w:fill="auto"/>
            <w:vAlign w:val="center"/>
          </w:tcPr>
          <w:p w14:paraId="47FAAF3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结构化记录</w:t>
            </w:r>
          </w:p>
        </w:tc>
      </w:tr>
    </w:tbl>
    <w:p w14:paraId="1C205E70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六、数据录入标准</w:t>
      </w:r>
    </w:p>
    <w:p w14:paraId="5FF5C633">
      <w:pPr>
        <w:pStyle w:val="30"/>
        <w:keepNext w:val="0"/>
        <w:keepLines w:val="0"/>
        <w:widowControl/>
        <w:numPr>
          <w:ilvl w:val="0"/>
          <w:numId w:val="92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 xml:space="preserve">所有字段必须与 </w:t>
      </w:r>
      <w:r>
        <w:rPr>
          <w:rStyle w:val="134"/>
          <w:rFonts w:hint="eastAsia" w:ascii="楷体" w:hAnsi="楷体" w:eastAsia="楷体" w:cs="楷体"/>
          <w:sz w:val="21"/>
          <w:szCs w:val="21"/>
        </w:rPr>
        <w:t>CRF</w:t>
      </w:r>
      <w:r>
        <w:rPr>
          <w:rFonts w:hint="eastAsia" w:ascii="楷体" w:hAnsi="楷体" w:eastAsia="楷体" w:cs="楷体"/>
          <w:sz w:val="21"/>
          <w:szCs w:val="21"/>
        </w:rPr>
        <w:t xml:space="preserve"> 和 </w:t>
      </w:r>
      <w:r>
        <w:rPr>
          <w:rStyle w:val="134"/>
          <w:rFonts w:hint="eastAsia" w:ascii="楷体" w:hAnsi="楷体" w:eastAsia="楷体" w:cs="楷体"/>
          <w:sz w:val="21"/>
          <w:szCs w:val="21"/>
        </w:rPr>
        <w:t>数据字典</w:t>
      </w:r>
      <w:r>
        <w:rPr>
          <w:rFonts w:hint="eastAsia" w:ascii="楷体" w:hAnsi="楷体" w:eastAsia="楷体" w:cs="楷体"/>
          <w:sz w:val="21"/>
          <w:szCs w:val="21"/>
        </w:rPr>
        <w:t xml:space="preserve"> 完全一致。</w:t>
      </w:r>
    </w:p>
    <w:p w14:paraId="4FC7A7DB">
      <w:pPr>
        <w:pStyle w:val="30"/>
        <w:keepNext w:val="0"/>
        <w:keepLines w:val="0"/>
        <w:widowControl/>
        <w:numPr>
          <w:ilvl w:val="0"/>
          <w:numId w:val="92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不允许使用“正常/异常”等模糊词汇。</w:t>
      </w:r>
    </w:p>
    <w:p w14:paraId="121CA134">
      <w:pPr>
        <w:pStyle w:val="30"/>
        <w:keepNext w:val="0"/>
        <w:keepLines w:val="0"/>
        <w:widowControl/>
        <w:numPr>
          <w:ilvl w:val="0"/>
          <w:numId w:val="92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所有量表评分必须按数值录入。</w:t>
      </w:r>
    </w:p>
    <w:p w14:paraId="3CDBF2BE">
      <w:pPr>
        <w:pStyle w:val="30"/>
        <w:keepNext w:val="0"/>
        <w:keepLines w:val="0"/>
        <w:widowControl/>
        <w:numPr>
          <w:ilvl w:val="0"/>
          <w:numId w:val="92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缺失数据必须标注缺失原因（拒访/失访/无法获取）。</w:t>
      </w:r>
    </w:p>
    <w:p w14:paraId="3693AAD4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七、数据质量控制（DQC）要求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89"/>
        <w:gridCol w:w="5558"/>
      </w:tblGrid>
      <w:tr w14:paraId="3E2DA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tblCellSpacing w:w="15" w:type="dxa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55207746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项目</w:t>
            </w:r>
          </w:p>
        </w:tc>
        <w:tc>
          <w:tcPr>
            <w:tcW w:w="5513" w:type="dxa"/>
            <w:shd w:val="clear" w:color="auto" w:fill="auto"/>
            <w:vAlign w:val="center"/>
          </w:tcPr>
          <w:p w14:paraId="38C9FAF1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要求</w:t>
            </w:r>
          </w:p>
        </w:tc>
      </w:tr>
      <w:tr w14:paraId="4F43A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05C802D3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数据完整性</w:t>
            </w:r>
          </w:p>
        </w:tc>
        <w:tc>
          <w:tcPr>
            <w:tcW w:w="5513" w:type="dxa"/>
            <w:shd w:val="clear" w:color="auto" w:fill="auto"/>
            <w:vAlign w:val="center"/>
          </w:tcPr>
          <w:p w14:paraId="6578AD7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≥90%</w:t>
            </w:r>
          </w:p>
        </w:tc>
      </w:tr>
      <w:tr w14:paraId="791915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519990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随访及时率</w:t>
            </w:r>
          </w:p>
        </w:tc>
        <w:tc>
          <w:tcPr>
            <w:tcW w:w="5513" w:type="dxa"/>
            <w:shd w:val="clear" w:color="auto" w:fill="auto"/>
            <w:vAlign w:val="center"/>
          </w:tcPr>
          <w:p w14:paraId="4F4C971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≥85%</w:t>
            </w:r>
          </w:p>
        </w:tc>
      </w:tr>
      <w:tr w14:paraId="0BD0C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7CA9A63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逻辑一致性</w:t>
            </w:r>
          </w:p>
        </w:tc>
        <w:tc>
          <w:tcPr>
            <w:tcW w:w="5513" w:type="dxa"/>
            <w:shd w:val="clear" w:color="auto" w:fill="auto"/>
            <w:vAlign w:val="center"/>
          </w:tcPr>
          <w:p w14:paraId="683A494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无重大错误</w:t>
            </w:r>
          </w:p>
        </w:tc>
      </w:tr>
      <w:tr w14:paraId="2D52F3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3C4312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异常值处理</w:t>
            </w:r>
          </w:p>
        </w:tc>
        <w:tc>
          <w:tcPr>
            <w:tcW w:w="5513" w:type="dxa"/>
            <w:shd w:val="clear" w:color="auto" w:fill="auto"/>
            <w:vAlign w:val="center"/>
          </w:tcPr>
          <w:p w14:paraId="2261FF02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必须标注并二次核查</w:t>
            </w:r>
          </w:p>
        </w:tc>
      </w:tr>
      <w:tr w14:paraId="6E818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144" w:type="dxa"/>
            <w:shd w:val="clear" w:color="auto" w:fill="auto"/>
            <w:vAlign w:val="center"/>
          </w:tcPr>
          <w:p w14:paraId="0576F92D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再入院信息</w:t>
            </w:r>
          </w:p>
        </w:tc>
        <w:tc>
          <w:tcPr>
            <w:tcW w:w="5513" w:type="dxa"/>
            <w:shd w:val="clear" w:color="auto" w:fill="auto"/>
            <w:vAlign w:val="center"/>
          </w:tcPr>
          <w:p w14:paraId="046E3F1F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与 HIS 对照</w:t>
            </w:r>
          </w:p>
        </w:tc>
      </w:tr>
    </w:tbl>
    <w:p w14:paraId="43DA9990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 xml:space="preserve">科研助理每个月产出 </w:t>
      </w:r>
      <w:r>
        <w:rPr>
          <w:rStyle w:val="134"/>
          <w:rFonts w:hint="eastAsia" w:ascii="楷体" w:hAnsi="楷体" w:eastAsia="楷体" w:cs="楷体"/>
          <w:sz w:val="21"/>
          <w:szCs w:val="21"/>
        </w:rPr>
        <w:t>随访质量报告</w:t>
      </w:r>
      <w:r>
        <w:rPr>
          <w:rFonts w:hint="eastAsia" w:ascii="楷体" w:hAnsi="楷体" w:eastAsia="楷体" w:cs="楷体"/>
          <w:sz w:val="21"/>
          <w:szCs w:val="21"/>
        </w:rPr>
        <w:t>，向 PI 与学科带头人汇报。</w:t>
      </w:r>
    </w:p>
    <w:p w14:paraId="796E8F76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八、随访失访处理机制</w:t>
      </w:r>
    </w:p>
    <w:p w14:paraId="75A696E8">
      <w:pPr>
        <w:pStyle w:val="30"/>
        <w:keepNext w:val="0"/>
        <w:keepLines w:val="0"/>
        <w:widowControl/>
        <w:numPr>
          <w:ilvl w:val="0"/>
          <w:numId w:val="93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两次无法联系 → 进入“失访预警”。</w:t>
      </w:r>
    </w:p>
    <w:p w14:paraId="5939C4EB">
      <w:pPr>
        <w:pStyle w:val="30"/>
        <w:keepNext w:val="0"/>
        <w:keepLines w:val="0"/>
        <w:widowControl/>
        <w:numPr>
          <w:ilvl w:val="0"/>
          <w:numId w:val="93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三次失访 → 标记失访并记录。</w:t>
      </w:r>
    </w:p>
    <w:p w14:paraId="62C9A52B">
      <w:pPr>
        <w:pStyle w:val="30"/>
        <w:keepNext w:val="0"/>
        <w:keepLines w:val="0"/>
        <w:widowControl/>
        <w:numPr>
          <w:ilvl w:val="0"/>
          <w:numId w:val="93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重要终点缺失 → 科研助理与住院部核查 HIS 数据。</w:t>
      </w:r>
    </w:p>
    <w:p w14:paraId="7E10B1C8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九、责任分工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658"/>
        <w:gridCol w:w="5089"/>
      </w:tblGrid>
      <w:tr w14:paraId="577708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13" w:type="dxa"/>
            <w:shd w:val="clear" w:color="auto" w:fill="auto"/>
            <w:vAlign w:val="center"/>
          </w:tcPr>
          <w:p w14:paraId="61F96A9D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环节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54464174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责任人</w:t>
            </w:r>
          </w:p>
        </w:tc>
      </w:tr>
      <w:tr w14:paraId="37A72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13" w:type="dxa"/>
            <w:shd w:val="clear" w:color="auto" w:fill="auto"/>
            <w:vAlign w:val="center"/>
          </w:tcPr>
          <w:p w14:paraId="2FB02F8F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随访执行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451D54E5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随访护士 / 研究生</w:t>
            </w:r>
          </w:p>
        </w:tc>
      </w:tr>
      <w:tr w14:paraId="3F0E45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13" w:type="dxa"/>
            <w:shd w:val="clear" w:color="auto" w:fill="auto"/>
            <w:vAlign w:val="center"/>
          </w:tcPr>
          <w:p w14:paraId="4D1D6DA9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数据录入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79E289E4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科研助理</w:t>
            </w:r>
          </w:p>
        </w:tc>
      </w:tr>
      <w:tr w14:paraId="04604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13" w:type="dxa"/>
            <w:shd w:val="clear" w:color="auto" w:fill="auto"/>
            <w:vAlign w:val="center"/>
          </w:tcPr>
          <w:p w14:paraId="50D46005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逻辑校验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53CD75D5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科研助理 + PI</w:t>
            </w:r>
          </w:p>
        </w:tc>
      </w:tr>
      <w:tr w14:paraId="6496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13" w:type="dxa"/>
            <w:shd w:val="clear" w:color="auto" w:fill="auto"/>
            <w:vAlign w:val="center"/>
          </w:tcPr>
          <w:p w14:paraId="5D98F659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失访管理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540FD5A9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随访护士</w:t>
            </w:r>
          </w:p>
        </w:tc>
      </w:tr>
      <w:tr w14:paraId="03608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3613" w:type="dxa"/>
            <w:shd w:val="clear" w:color="auto" w:fill="auto"/>
            <w:vAlign w:val="center"/>
          </w:tcPr>
          <w:p w14:paraId="36A9A504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最终确认入库</w:t>
            </w:r>
          </w:p>
        </w:tc>
        <w:tc>
          <w:tcPr>
            <w:tcW w:w="5044" w:type="dxa"/>
            <w:shd w:val="clear" w:color="auto" w:fill="auto"/>
            <w:vAlign w:val="center"/>
          </w:tcPr>
          <w:p w14:paraId="4B0D7327">
            <w:pPr>
              <w:keepNext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PI</w:t>
            </w:r>
          </w:p>
        </w:tc>
      </w:tr>
    </w:tbl>
    <w:p w14:paraId="744B607F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十、特别说明（适用于 DIDTS / PRI / PARI / SMLSP / CETC）</w:t>
      </w:r>
    </w:p>
    <w:p w14:paraId="1C0F40C9">
      <w:pPr>
        <w:pStyle w:val="30"/>
        <w:keepNext w:val="0"/>
        <w:keepLines w:val="0"/>
        <w:widowControl/>
        <w:numPr>
          <w:ilvl w:val="0"/>
          <w:numId w:val="94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所有随访数据将纳入 DIDTS 链数据库。</w:t>
      </w:r>
    </w:p>
    <w:p w14:paraId="0B1577EE">
      <w:pPr>
        <w:pStyle w:val="30"/>
        <w:keepNext w:val="0"/>
        <w:keepLines w:val="0"/>
        <w:widowControl/>
        <w:numPr>
          <w:ilvl w:val="0"/>
          <w:numId w:val="94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随访数据是 PRI、PARI、PoRA-6 模型训练的重要输入。</w:t>
      </w:r>
    </w:p>
    <w:p w14:paraId="035B5204">
      <w:pPr>
        <w:pStyle w:val="30"/>
        <w:keepNext w:val="0"/>
        <w:keepLines w:val="0"/>
        <w:widowControl/>
        <w:numPr>
          <w:ilvl w:val="0"/>
          <w:numId w:val="94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工程与 AI 项目如涉及患者随访，需严格遵循伦理规范。</w:t>
      </w:r>
    </w:p>
    <w:p w14:paraId="66A5A9D0">
      <w:pPr>
        <w:pStyle w:val="30"/>
        <w:keepNext w:val="0"/>
        <w:keepLines w:val="0"/>
        <w:widowControl/>
        <w:numPr>
          <w:ilvl w:val="0"/>
          <w:numId w:val="94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b/>
          <w:bCs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随访 SOP 每年更新一次，按版本号管理。</w:t>
      </w:r>
    </w:p>
    <w:p w14:paraId="5B88B192">
      <w:pPr>
        <w:pStyle w:val="5"/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附件16 </w:t>
      </w:r>
      <w:r>
        <w:rPr>
          <w:rFonts w:hint="eastAsia" w:ascii="黑体" w:hAnsi="黑体" w:eastAsia="黑体" w:cs="黑体"/>
        </w:rPr>
        <w:t>多中心研究数据对接指南</w:t>
      </w:r>
    </w:p>
    <w:p w14:paraId="6BCA8F07">
      <w:pPr>
        <w:pStyle w:val="30"/>
        <w:keepNext w:val="0"/>
        <w:keepLines w:val="0"/>
        <w:widowControl/>
        <w:suppressLineNumbers w:val="0"/>
        <w:ind w:firstLine="420" w:firstLineChars="20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 xml:space="preserve">适用于所有多中心临床研究（RWS/RCT）、术式研究（DIDTS、空肠间置术）、围术期恢复类研究（PRI / PARI / PoRA-6）、工程/AI 项目（如 C-EMR、SMLSP），确保数据 </w:t>
      </w:r>
      <w:r>
        <w:rPr>
          <w:rStyle w:val="134"/>
          <w:rFonts w:hint="eastAsia" w:ascii="楷体" w:hAnsi="楷体" w:eastAsia="楷体" w:cs="楷体"/>
          <w:sz w:val="21"/>
          <w:szCs w:val="21"/>
        </w:rPr>
        <w:t>结构统一、流程一致、可追溯、可审计、可并联分析</w:t>
      </w:r>
      <w:r>
        <w:rPr>
          <w:rFonts w:hint="eastAsia" w:ascii="楷体" w:hAnsi="楷体" w:eastAsia="楷体" w:cs="楷体"/>
          <w:sz w:val="21"/>
          <w:szCs w:val="21"/>
        </w:rPr>
        <w:t>。</w:t>
      </w:r>
    </w:p>
    <w:p w14:paraId="0D54E811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一、指南目标</w:t>
      </w:r>
    </w:p>
    <w:p w14:paraId="74872EEA">
      <w:pPr>
        <w:pStyle w:val="30"/>
        <w:keepNext w:val="0"/>
        <w:keepLines w:val="0"/>
        <w:widowControl/>
        <w:numPr>
          <w:ilvl w:val="0"/>
          <w:numId w:val="95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实现多中心数据结构与编码的完全统一。</w:t>
      </w:r>
    </w:p>
    <w:p w14:paraId="47613C6A">
      <w:pPr>
        <w:pStyle w:val="30"/>
        <w:keepNext w:val="0"/>
        <w:keepLines w:val="0"/>
        <w:widowControl/>
        <w:numPr>
          <w:ilvl w:val="0"/>
          <w:numId w:val="95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确保各中心 CRF、数据字典、终点定义一致。</w:t>
      </w:r>
    </w:p>
    <w:p w14:paraId="0E601DBB">
      <w:pPr>
        <w:pStyle w:val="30"/>
        <w:keepNext w:val="0"/>
        <w:keepLines w:val="0"/>
        <w:widowControl/>
        <w:numPr>
          <w:ilvl w:val="0"/>
          <w:numId w:val="95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建立即时、规范、安全的数据交互机制。</w:t>
      </w:r>
    </w:p>
    <w:p w14:paraId="240D5D97">
      <w:pPr>
        <w:pStyle w:val="30"/>
        <w:keepNext w:val="0"/>
        <w:keepLines w:val="0"/>
        <w:widowControl/>
        <w:numPr>
          <w:ilvl w:val="0"/>
          <w:numId w:val="95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支持多中心合并分析（Meta-database / Federated Dataset）。</w:t>
      </w:r>
    </w:p>
    <w:p w14:paraId="1A3F9F5C">
      <w:pPr>
        <w:pStyle w:val="30"/>
        <w:keepNext w:val="0"/>
        <w:keepLines w:val="0"/>
        <w:widowControl/>
        <w:numPr>
          <w:ilvl w:val="0"/>
          <w:numId w:val="95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提高整体数据质量并降低中心间异质性。</w:t>
      </w:r>
    </w:p>
    <w:p w14:paraId="72FA719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二、多中心参与单位要求</w:t>
      </w:r>
    </w:p>
    <w:p w14:paraId="24632FBE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每个中心须具备：</w:t>
      </w:r>
    </w:p>
    <w:p w14:paraId="179692D7">
      <w:pPr>
        <w:pStyle w:val="30"/>
        <w:keepNext w:val="0"/>
        <w:keepLines w:val="0"/>
        <w:widowControl/>
        <w:numPr>
          <w:ilvl w:val="0"/>
          <w:numId w:val="96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固定 PI 与随访团队</w:t>
      </w:r>
    </w:p>
    <w:p w14:paraId="510F9BA1">
      <w:pPr>
        <w:pStyle w:val="30"/>
        <w:keepNext w:val="0"/>
        <w:keepLines w:val="0"/>
        <w:widowControl/>
        <w:numPr>
          <w:ilvl w:val="0"/>
          <w:numId w:val="96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可落实 CRF 与数据录入的科研助理/护士</w:t>
      </w:r>
    </w:p>
    <w:p w14:paraId="0073C032">
      <w:pPr>
        <w:pStyle w:val="30"/>
        <w:keepNext w:val="0"/>
        <w:keepLines w:val="0"/>
        <w:widowControl/>
        <w:numPr>
          <w:ilvl w:val="0"/>
          <w:numId w:val="96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医院伦理批准</w:t>
      </w:r>
    </w:p>
    <w:p w14:paraId="3BD9C625">
      <w:pPr>
        <w:pStyle w:val="30"/>
        <w:keepNext w:val="0"/>
        <w:keepLines w:val="0"/>
        <w:widowControl/>
        <w:numPr>
          <w:ilvl w:val="0"/>
          <w:numId w:val="96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数据脱敏能力</w:t>
      </w:r>
    </w:p>
    <w:p w14:paraId="6DA021E0">
      <w:pPr>
        <w:pStyle w:val="30"/>
        <w:keepNext w:val="0"/>
        <w:keepLines w:val="0"/>
        <w:widowControl/>
        <w:numPr>
          <w:ilvl w:val="0"/>
          <w:numId w:val="96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基础数据管理能力</w:t>
      </w:r>
    </w:p>
    <w:p w14:paraId="1F3A24BF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中心分类：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7"/>
        <w:gridCol w:w="7490"/>
      </w:tblGrid>
      <w:tr w14:paraId="7D304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212" w:type="dxa"/>
            <w:shd w:val="clear" w:color="auto" w:fill="auto"/>
            <w:vAlign w:val="center"/>
          </w:tcPr>
          <w:p w14:paraId="7234C4B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类型</w:t>
            </w:r>
          </w:p>
        </w:tc>
        <w:tc>
          <w:tcPr>
            <w:tcW w:w="7445" w:type="dxa"/>
            <w:shd w:val="clear" w:color="auto" w:fill="auto"/>
            <w:vAlign w:val="center"/>
          </w:tcPr>
          <w:p w14:paraId="43D87687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要求</w:t>
            </w:r>
          </w:p>
        </w:tc>
      </w:tr>
      <w:tr w14:paraId="61C3B4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212" w:type="dxa"/>
            <w:shd w:val="clear" w:color="auto" w:fill="auto"/>
            <w:vAlign w:val="center"/>
          </w:tcPr>
          <w:p w14:paraId="470CA7AA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牵头中心</w:t>
            </w:r>
          </w:p>
        </w:tc>
        <w:tc>
          <w:tcPr>
            <w:tcW w:w="7445" w:type="dxa"/>
            <w:shd w:val="clear" w:color="auto" w:fill="auto"/>
            <w:vAlign w:val="center"/>
          </w:tcPr>
          <w:p w14:paraId="6ED43E5D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负责 Protocol、CRF、数据字典、SAP、DQC、合并数据管理</w:t>
            </w:r>
          </w:p>
        </w:tc>
      </w:tr>
      <w:tr w14:paraId="51C89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1212" w:type="dxa"/>
            <w:shd w:val="clear" w:color="auto" w:fill="auto"/>
            <w:vAlign w:val="center"/>
          </w:tcPr>
          <w:p w14:paraId="017F59E4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参与中心</w:t>
            </w:r>
          </w:p>
        </w:tc>
        <w:tc>
          <w:tcPr>
            <w:tcW w:w="7445" w:type="dxa"/>
            <w:shd w:val="clear" w:color="auto" w:fill="auto"/>
            <w:vAlign w:val="center"/>
          </w:tcPr>
          <w:p w14:paraId="05B2E5ED">
            <w:pPr>
              <w:keepNext w:val="0"/>
              <w:keepLines w:val="0"/>
              <w:widowControl/>
              <w:suppressLineNumbers w:val="0"/>
              <w:snapToGrid w:val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按统一标准收集、录入与提交数据</w:t>
            </w:r>
          </w:p>
        </w:tc>
      </w:tr>
    </w:tbl>
    <w:p w14:paraId="249CD959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三、数据结构统一要求</w:t>
      </w:r>
    </w:p>
    <w:p w14:paraId="1DD1792E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必须使用牵头中心提供的三件套：</w:t>
      </w:r>
    </w:p>
    <w:p w14:paraId="6AD25470">
      <w:pPr>
        <w:pStyle w:val="30"/>
        <w:keepNext w:val="0"/>
        <w:keepLines w:val="0"/>
        <w:widowControl/>
        <w:numPr>
          <w:ilvl w:val="0"/>
          <w:numId w:val="97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统一 CRF（电子/纸质）</w:t>
      </w:r>
    </w:p>
    <w:p w14:paraId="40C37458">
      <w:pPr>
        <w:pStyle w:val="30"/>
        <w:keepNext w:val="0"/>
        <w:keepLines w:val="0"/>
        <w:widowControl/>
        <w:numPr>
          <w:ilvl w:val="0"/>
          <w:numId w:val="97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统一数据字典（字段命名 + 编码 + 值域范围）</w:t>
      </w:r>
    </w:p>
    <w:p w14:paraId="31E96695">
      <w:pPr>
        <w:pStyle w:val="30"/>
        <w:keepNext w:val="0"/>
        <w:keepLines w:val="0"/>
        <w:widowControl/>
        <w:numPr>
          <w:ilvl w:val="0"/>
          <w:numId w:val="97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统一终点体系（Primary/Secondary Endpoints）</w:t>
      </w:r>
    </w:p>
    <w:p w14:paraId="1266BDFE">
      <w:pPr>
        <w:pStyle w:val="30"/>
        <w:keepNext w:val="0"/>
        <w:keepLines w:val="0"/>
        <w:widowControl/>
        <w:suppressLineNumbers w:val="0"/>
        <w:ind w:firstLine="420" w:firstLineChars="20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任何中心不得改变字段名称、顺序、编码、单位。 如需新增字段，须向牵头单位提出申请，由数据管理员统一更新版本号（v1.0 → v1.1）。</w:t>
      </w:r>
    </w:p>
    <w:p w14:paraId="4455272B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四、数据交互方式（推荐三种方式）</w:t>
      </w:r>
    </w:p>
    <w:p w14:paraId="5E35A9E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标准 Excel/CSV 上报（最常用）</w:t>
      </w:r>
    </w:p>
    <w:p w14:paraId="1E19538A">
      <w:pPr>
        <w:pStyle w:val="30"/>
        <w:keepNext w:val="0"/>
        <w:keepLines w:val="0"/>
        <w:widowControl/>
        <w:numPr>
          <w:ilvl w:val="0"/>
          <w:numId w:val="9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使用统一模板</w:t>
      </w:r>
    </w:p>
    <w:p w14:paraId="626E9F66">
      <w:pPr>
        <w:pStyle w:val="30"/>
        <w:keepNext w:val="0"/>
        <w:keepLines w:val="0"/>
        <w:widowControl/>
        <w:numPr>
          <w:ilvl w:val="0"/>
          <w:numId w:val="9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禁止合并单元格</w:t>
      </w:r>
    </w:p>
    <w:p w14:paraId="20DCE874">
      <w:pPr>
        <w:pStyle w:val="30"/>
        <w:keepNext w:val="0"/>
        <w:keepLines w:val="0"/>
        <w:widowControl/>
        <w:numPr>
          <w:ilvl w:val="0"/>
          <w:numId w:val="9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禁止自由命名列名</w:t>
      </w:r>
    </w:p>
    <w:p w14:paraId="4C2B9C3A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JSON 结构化上报（工程/AI 项目常用）</w:t>
      </w:r>
    </w:p>
    <w:p w14:paraId="40B05AF3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格式示例：</w:t>
      </w:r>
    </w:p>
    <w:p w14:paraId="77E0892E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{</w:t>
      </w:r>
    </w:p>
    <w:p w14:paraId="4E341623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"patient_id": "001001",</w:t>
      </w:r>
    </w:p>
    <w:p w14:paraId="279C9F58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"age": 56,</w:t>
      </w:r>
    </w:p>
    <w:p w14:paraId="40895108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"peri_complication": 2,</w:t>
      </w:r>
    </w:p>
    <w:p w14:paraId="49E92A7E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"qol_score": 78</w:t>
      </w:r>
    </w:p>
    <w:p w14:paraId="11E1C7F9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}</w:t>
      </w:r>
    </w:p>
    <w:p w14:paraId="2A75B606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 轻量型 API 对接（C-EMR/AI 模型）</w:t>
      </w:r>
    </w:p>
    <w:p w14:paraId="70EDDD03">
      <w:pPr>
        <w:pStyle w:val="30"/>
        <w:keepNext w:val="0"/>
        <w:keepLines w:val="0"/>
        <w:widowControl/>
        <w:numPr>
          <w:ilvl w:val="0"/>
          <w:numId w:val="9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提供 RESTful API 规范</w:t>
      </w:r>
    </w:p>
    <w:p w14:paraId="40A4C10B">
      <w:pPr>
        <w:pStyle w:val="30"/>
        <w:keepNext w:val="0"/>
        <w:keepLines w:val="0"/>
        <w:widowControl/>
        <w:numPr>
          <w:ilvl w:val="0"/>
          <w:numId w:val="9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采用 Token 验证</w:t>
      </w:r>
    </w:p>
    <w:p w14:paraId="19601D4E">
      <w:pPr>
        <w:pStyle w:val="30"/>
        <w:keepNext w:val="0"/>
        <w:keepLines w:val="0"/>
        <w:widowControl/>
        <w:numPr>
          <w:ilvl w:val="0"/>
          <w:numId w:val="9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仅在双方伦理批准下可用</w:t>
      </w:r>
    </w:p>
    <w:p w14:paraId="0404E0C3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五、数据传输规范（Data Transmission Protocol）</w:t>
      </w:r>
    </w:p>
    <w:p w14:paraId="74A2CA3F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文件命名规则</w:t>
      </w:r>
    </w:p>
    <w:p w14:paraId="643A3A89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中心编号_日期_版本号.xlsx</w:t>
      </w:r>
    </w:p>
    <w:p w14:paraId="1060EFA7"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示例：A01_20250115_v1.0.xlsx</w:t>
      </w:r>
    </w:p>
    <w:p w14:paraId="1A830227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提交频率</w:t>
      </w:r>
    </w:p>
    <w:p w14:paraId="6A611F68">
      <w:pPr>
        <w:pStyle w:val="30"/>
        <w:keepNext w:val="0"/>
        <w:keepLines w:val="0"/>
        <w:widowControl/>
        <w:numPr>
          <w:ilvl w:val="0"/>
          <w:numId w:val="9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建议</w:t>
      </w:r>
      <w:r>
        <w:rPr>
          <w:rStyle w:val="134"/>
          <w:rFonts w:hint="eastAsia" w:ascii="楷体" w:hAnsi="楷体" w:eastAsia="楷体" w:cs="楷体"/>
          <w:sz w:val="21"/>
          <w:szCs w:val="21"/>
        </w:rPr>
        <w:t>每月提交一次</w:t>
      </w:r>
    </w:p>
    <w:p w14:paraId="774A534C">
      <w:pPr>
        <w:pStyle w:val="30"/>
        <w:keepNext w:val="0"/>
        <w:keepLines w:val="0"/>
        <w:widowControl/>
        <w:numPr>
          <w:ilvl w:val="0"/>
          <w:numId w:val="9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RCT/关键节点研究可增加频次</w:t>
      </w:r>
    </w:p>
    <w:p w14:paraId="0AFAB5B5">
      <w:pPr>
        <w:bidi w:val="0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3. 数据安全要求</w:t>
      </w:r>
    </w:p>
    <w:p w14:paraId="16549B37">
      <w:pPr>
        <w:pStyle w:val="30"/>
        <w:keepNext w:val="0"/>
        <w:keepLines w:val="0"/>
        <w:widowControl/>
        <w:numPr>
          <w:ilvl w:val="0"/>
          <w:numId w:val="9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数据脱敏（不得包含姓名、身份证号、电话）</w:t>
      </w:r>
    </w:p>
    <w:p w14:paraId="44F95698">
      <w:pPr>
        <w:pStyle w:val="30"/>
        <w:keepNext w:val="0"/>
        <w:keepLines w:val="0"/>
        <w:widowControl/>
        <w:numPr>
          <w:ilvl w:val="0"/>
          <w:numId w:val="9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加密传输（AES/ZIP密码）</w:t>
      </w:r>
    </w:p>
    <w:p w14:paraId="66710EBA">
      <w:pPr>
        <w:pStyle w:val="30"/>
        <w:keepNext w:val="0"/>
        <w:keepLines w:val="0"/>
        <w:widowControl/>
        <w:numPr>
          <w:ilvl w:val="0"/>
          <w:numId w:val="98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仅允许使用正式邮箱</w:t>
      </w:r>
    </w:p>
    <w:p w14:paraId="08C15FA8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六、数据校验（DQC）流程</w:t>
      </w:r>
    </w:p>
    <w:p w14:paraId="1ED6DAAB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牵头中心每次收到数据后必须执行：</w:t>
      </w:r>
    </w:p>
    <w:p w14:paraId="380B16D1">
      <w:pPr>
        <w:pStyle w:val="30"/>
        <w:keepNext w:val="0"/>
        <w:keepLines w:val="0"/>
        <w:widowControl/>
        <w:numPr>
          <w:ilvl w:val="0"/>
          <w:numId w:val="99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字段完整性检查（Completeness）</w:t>
      </w:r>
    </w:p>
    <w:p w14:paraId="4A917AA6">
      <w:pPr>
        <w:pStyle w:val="30"/>
        <w:keepNext w:val="0"/>
        <w:keepLines w:val="0"/>
        <w:widowControl/>
        <w:numPr>
          <w:ilvl w:val="0"/>
          <w:numId w:val="99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值域合法性检查（Validity）</w:t>
      </w:r>
    </w:p>
    <w:p w14:paraId="7704A20B">
      <w:pPr>
        <w:pStyle w:val="30"/>
        <w:keepNext w:val="0"/>
        <w:keepLines w:val="0"/>
        <w:widowControl/>
        <w:numPr>
          <w:ilvl w:val="0"/>
          <w:numId w:val="99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编码一致性检查（Coding Consistency）</w:t>
      </w:r>
    </w:p>
    <w:p w14:paraId="0DD582CE">
      <w:pPr>
        <w:pStyle w:val="30"/>
        <w:keepNext w:val="0"/>
        <w:keepLines w:val="0"/>
        <w:widowControl/>
        <w:numPr>
          <w:ilvl w:val="0"/>
          <w:numId w:val="99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时间线逻辑校验（e.g., 手术日期 &lt; 出院日期）</w:t>
      </w:r>
    </w:p>
    <w:p w14:paraId="107B9ACA">
      <w:pPr>
        <w:pStyle w:val="30"/>
        <w:keepNext w:val="0"/>
        <w:keepLines w:val="0"/>
        <w:widowControl/>
        <w:numPr>
          <w:ilvl w:val="0"/>
          <w:numId w:val="99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异常值检测（Outlier Detection）</w:t>
      </w:r>
    </w:p>
    <w:p w14:paraId="5BDDB005">
      <w:pPr>
        <w:pStyle w:val="30"/>
        <w:keepNext w:val="0"/>
        <w:keepLines w:val="0"/>
        <w:widowControl/>
        <w:numPr>
          <w:ilvl w:val="0"/>
          <w:numId w:val="99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多中心间异质性检查（Heterogeneity Check）</w:t>
      </w:r>
    </w:p>
    <w:p w14:paraId="6987BAF2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DQC 结果将反馈至各中心，需在 7 天内整改。</w:t>
      </w:r>
    </w:p>
    <w:p w14:paraId="0A97182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七、与 SAP（统计分析计划）的接口</w:t>
      </w:r>
    </w:p>
    <w:p w14:paraId="2F3DA609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多中心数据最终需形成：</w:t>
      </w:r>
    </w:p>
    <w:p w14:paraId="38A92432">
      <w:pPr>
        <w:pStyle w:val="30"/>
        <w:keepNext w:val="0"/>
        <w:keepLines w:val="0"/>
        <w:widowControl/>
        <w:numPr>
          <w:ilvl w:val="0"/>
          <w:numId w:val="100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Meta-dataset（合并数据库）</w:t>
      </w:r>
    </w:p>
    <w:p w14:paraId="6591B629">
      <w:pPr>
        <w:pStyle w:val="30"/>
        <w:keepNext w:val="0"/>
        <w:keepLines w:val="0"/>
        <w:widowControl/>
        <w:numPr>
          <w:ilvl w:val="0"/>
          <w:numId w:val="100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Center ID（作为协变量）</w:t>
      </w:r>
    </w:p>
    <w:p w14:paraId="33F97B3B">
      <w:pPr>
        <w:pStyle w:val="30"/>
        <w:keepNext w:val="0"/>
        <w:keepLines w:val="0"/>
        <w:widowControl/>
        <w:numPr>
          <w:ilvl w:val="0"/>
          <w:numId w:val="100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多中心随机效应模型（mixed-effects model）</w:t>
      </w:r>
    </w:p>
    <w:p w14:paraId="3A65D688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SAP 将对：</w:t>
      </w:r>
    </w:p>
    <w:p w14:paraId="307AA826">
      <w:pPr>
        <w:pStyle w:val="30"/>
        <w:keepNext w:val="0"/>
        <w:keepLines w:val="0"/>
        <w:widowControl/>
        <w:numPr>
          <w:ilvl w:val="0"/>
          <w:numId w:val="100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中心效应</w:t>
      </w:r>
    </w:p>
    <w:p w14:paraId="6D33C3EF">
      <w:pPr>
        <w:pStyle w:val="30"/>
        <w:keepNext w:val="0"/>
        <w:keepLines w:val="0"/>
        <w:widowControl/>
        <w:numPr>
          <w:ilvl w:val="0"/>
          <w:numId w:val="100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数据缺失机制</w:t>
      </w:r>
    </w:p>
    <w:p w14:paraId="7251EE6F">
      <w:pPr>
        <w:pStyle w:val="30"/>
        <w:keepNext w:val="0"/>
        <w:keepLines w:val="0"/>
        <w:widowControl/>
        <w:numPr>
          <w:ilvl w:val="0"/>
          <w:numId w:val="100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多中心倾向评分 做专门规定。</w:t>
      </w:r>
    </w:p>
    <w:p w14:paraId="5137291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八、跨中心数据版本管理</w:t>
      </w:r>
    </w:p>
    <w:p w14:paraId="6B203B62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牵头单位负责：</w:t>
      </w:r>
    </w:p>
    <w:p w14:paraId="751A9666">
      <w:pPr>
        <w:pStyle w:val="30"/>
        <w:keepNext w:val="0"/>
        <w:keepLines w:val="0"/>
        <w:widowControl/>
        <w:numPr>
          <w:ilvl w:val="0"/>
          <w:numId w:val="101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每次更新 CRF/数据字典 → 发布更新日志（Change Log）</w:t>
      </w:r>
    </w:p>
    <w:p w14:paraId="1F149757">
      <w:pPr>
        <w:pStyle w:val="30"/>
        <w:keepNext w:val="0"/>
        <w:keepLines w:val="0"/>
        <w:widowControl/>
        <w:numPr>
          <w:ilvl w:val="0"/>
          <w:numId w:val="101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给每个版本分配编号</w:t>
      </w:r>
    </w:p>
    <w:p w14:paraId="7F05D6DF">
      <w:pPr>
        <w:pStyle w:val="30"/>
        <w:keepNext w:val="0"/>
        <w:keepLines w:val="0"/>
        <w:widowControl/>
        <w:numPr>
          <w:ilvl w:val="0"/>
          <w:numId w:val="101"/>
        </w:numPr>
        <w:suppressLineNumbers w:val="0"/>
        <w:ind w:left="425" w:leftChars="0" w:hanging="425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监督全中心统一切换版本</w:t>
      </w:r>
    </w:p>
    <w:p w14:paraId="5097EC1C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建议：</w:t>
      </w:r>
    </w:p>
    <w:p w14:paraId="084FCB69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每半年最多允许一次大版本更新</w:t>
      </w:r>
    </w:p>
    <w:p w14:paraId="21F9302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九、数据合并流程（Data Integration Workflow）</w:t>
      </w:r>
    </w:p>
    <w:p w14:paraId="764B697E">
      <w:pPr>
        <w:keepNext w:val="0"/>
        <w:keepLines w:val="0"/>
        <w:widowControl/>
        <w:suppressLineNumbers w:val="0"/>
        <w:ind w:firstLine="420" w:firstLineChars="200"/>
        <w:jc w:val="left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kern w:val="0"/>
          <w:sz w:val="21"/>
          <w:szCs w:val="21"/>
          <w:lang w:val="en-US" w:eastAsia="zh-CN" w:bidi="ar"/>
        </w:rPr>
        <w:t>各中心上报数据 → 牵头中心 DQC → 整理为标准结构 → 合并主数据库 → 中心效应检查 → 最终分析集（Analysis Dataset）</w:t>
      </w:r>
    </w:p>
    <w:p w14:paraId="56648205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十、常见问题与解决方案（FAQ）</w:t>
      </w:r>
    </w:p>
    <w:p w14:paraId="1E84AE66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不同中心字段缺失不同步</w:t>
      </w:r>
    </w:p>
    <w:p w14:paraId="4F6AF927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→ 牵头中心统一要求补齐；不可合并前放行。</w:t>
      </w:r>
    </w:p>
    <w:p w14:paraId="1FA05F77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不同中心使用不同编码</w:t>
      </w:r>
    </w:p>
    <w:p w14:paraId="52803CFD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→ 强制按数据字典标准重新编码。</w:t>
      </w:r>
    </w:p>
    <w:p w14:paraId="64DC8E3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 数据逻辑冲突（诊断在出院日期之后）</w:t>
      </w:r>
    </w:p>
    <w:p w14:paraId="4CAC2A64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→ 退回中心重新核实并说明原因。</w:t>
      </w:r>
    </w:p>
    <w:p w14:paraId="57268E34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4. 参与中心科研水平不一</w:t>
      </w:r>
    </w:p>
    <w:p w14:paraId="11D5C0ED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→ 建议建立“培训—考核—准入”机制。</w:t>
      </w:r>
    </w:p>
    <w:p w14:paraId="019F7DB1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十一、责任分工</w:t>
      </w:r>
    </w:p>
    <w:tbl>
      <w:tblPr>
        <w:tblStyle w:val="33"/>
        <w:tblW w:w="8747" w:type="dxa"/>
        <w:jc w:val="center"/>
        <w:tblCellSpacing w:w="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129"/>
        <w:gridCol w:w="4618"/>
      </w:tblGrid>
      <w:tr w14:paraId="282B5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0" w:hRule="atLeast"/>
          <w:tblHeader/>
          <w:tblCellSpacing w:w="15" w:type="dxa"/>
          <w:jc w:val="center"/>
        </w:trPr>
        <w:tc>
          <w:tcPr>
            <w:tcW w:w="4084" w:type="dxa"/>
            <w:shd w:val="clear" w:color="auto" w:fill="auto"/>
            <w:vAlign w:val="center"/>
          </w:tcPr>
          <w:p w14:paraId="48E9FFF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环节</w:t>
            </w:r>
          </w:p>
        </w:tc>
        <w:tc>
          <w:tcPr>
            <w:tcW w:w="4573" w:type="dxa"/>
            <w:shd w:val="clear" w:color="auto" w:fill="auto"/>
            <w:vAlign w:val="center"/>
          </w:tcPr>
          <w:p w14:paraId="0C10DC0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b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kern w:val="0"/>
                <w:sz w:val="21"/>
                <w:szCs w:val="21"/>
                <w:lang w:val="en-US" w:eastAsia="zh-CN" w:bidi="ar"/>
              </w:rPr>
              <w:t>责任人</w:t>
            </w:r>
          </w:p>
        </w:tc>
      </w:tr>
      <w:tr w14:paraId="6AC37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84" w:type="dxa"/>
            <w:shd w:val="clear" w:color="auto" w:fill="auto"/>
            <w:vAlign w:val="center"/>
          </w:tcPr>
          <w:p w14:paraId="5E18CF98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CRF/数据字典发布</w:t>
            </w:r>
          </w:p>
        </w:tc>
        <w:tc>
          <w:tcPr>
            <w:tcW w:w="4573" w:type="dxa"/>
            <w:shd w:val="clear" w:color="auto" w:fill="auto"/>
            <w:vAlign w:val="center"/>
          </w:tcPr>
          <w:p w14:paraId="773314E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牵头中心</w:t>
            </w:r>
          </w:p>
        </w:tc>
      </w:tr>
      <w:tr w14:paraId="719AC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84" w:type="dxa"/>
            <w:shd w:val="clear" w:color="auto" w:fill="auto"/>
            <w:vAlign w:val="center"/>
          </w:tcPr>
          <w:p w14:paraId="112C8BD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数据采集</w:t>
            </w:r>
          </w:p>
        </w:tc>
        <w:tc>
          <w:tcPr>
            <w:tcW w:w="4573" w:type="dxa"/>
            <w:shd w:val="clear" w:color="auto" w:fill="auto"/>
            <w:vAlign w:val="center"/>
          </w:tcPr>
          <w:p w14:paraId="4BB0979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参与中心</w:t>
            </w:r>
          </w:p>
        </w:tc>
      </w:tr>
      <w:tr w14:paraId="17E75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84" w:type="dxa"/>
            <w:shd w:val="clear" w:color="auto" w:fill="auto"/>
            <w:vAlign w:val="center"/>
          </w:tcPr>
          <w:p w14:paraId="7866EC2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数据提交</w:t>
            </w:r>
          </w:p>
        </w:tc>
        <w:tc>
          <w:tcPr>
            <w:tcW w:w="4573" w:type="dxa"/>
            <w:shd w:val="clear" w:color="auto" w:fill="auto"/>
            <w:vAlign w:val="center"/>
          </w:tcPr>
          <w:p w14:paraId="57904D27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参与中心科研助理</w:t>
            </w:r>
          </w:p>
        </w:tc>
      </w:tr>
      <w:tr w14:paraId="46ADF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84" w:type="dxa"/>
            <w:shd w:val="clear" w:color="auto" w:fill="auto"/>
            <w:vAlign w:val="center"/>
          </w:tcPr>
          <w:p w14:paraId="161C41CA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DQC 校验</w:t>
            </w:r>
          </w:p>
        </w:tc>
        <w:tc>
          <w:tcPr>
            <w:tcW w:w="4573" w:type="dxa"/>
            <w:shd w:val="clear" w:color="auto" w:fill="auto"/>
            <w:vAlign w:val="center"/>
          </w:tcPr>
          <w:p w14:paraId="5983088B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牵头中心数据管理员</w:t>
            </w:r>
          </w:p>
        </w:tc>
      </w:tr>
      <w:tr w14:paraId="30AEA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84" w:type="dxa"/>
            <w:shd w:val="clear" w:color="auto" w:fill="auto"/>
            <w:vAlign w:val="center"/>
          </w:tcPr>
          <w:p w14:paraId="2BF14AAE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数据合并</w:t>
            </w:r>
          </w:p>
        </w:tc>
        <w:tc>
          <w:tcPr>
            <w:tcW w:w="4573" w:type="dxa"/>
            <w:shd w:val="clear" w:color="auto" w:fill="auto"/>
            <w:vAlign w:val="center"/>
          </w:tcPr>
          <w:p w14:paraId="08BD9DA5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牵头中心统计师</w:t>
            </w:r>
          </w:p>
        </w:tc>
      </w:tr>
      <w:tr w14:paraId="092FA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CellSpacing w:w="15" w:type="dxa"/>
          <w:jc w:val="center"/>
        </w:trPr>
        <w:tc>
          <w:tcPr>
            <w:tcW w:w="4084" w:type="dxa"/>
            <w:shd w:val="clear" w:color="auto" w:fill="auto"/>
            <w:vAlign w:val="center"/>
          </w:tcPr>
          <w:p w14:paraId="0ADB14A0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结果分析</w:t>
            </w:r>
          </w:p>
        </w:tc>
        <w:tc>
          <w:tcPr>
            <w:tcW w:w="4573" w:type="dxa"/>
            <w:shd w:val="clear" w:color="auto" w:fill="auto"/>
            <w:vAlign w:val="center"/>
          </w:tcPr>
          <w:p w14:paraId="5C24EF69">
            <w:pPr>
              <w:keepNext w:val="0"/>
              <w:keepLines w:val="0"/>
              <w:widowControl/>
              <w:suppressLineNumbers w:val="0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eastAsia" w:ascii="楷体" w:hAnsi="楷体" w:eastAsia="楷体" w:cs="楷体"/>
                <w:sz w:val="21"/>
                <w:szCs w:val="21"/>
              </w:rPr>
            </w:pPr>
            <w:r>
              <w:rPr>
                <w:rFonts w:hint="eastAsia" w:ascii="楷体" w:hAnsi="楷体" w:eastAsia="楷体" w:cs="楷体"/>
                <w:kern w:val="0"/>
                <w:sz w:val="21"/>
                <w:szCs w:val="21"/>
                <w:lang w:val="en-US" w:eastAsia="zh-CN" w:bidi="ar"/>
              </w:rPr>
              <w:t>PI/统计团队</w:t>
            </w:r>
          </w:p>
        </w:tc>
      </w:tr>
    </w:tbl>
    <w:p w14:paraId="662758CF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十二、特别说明（适用于 DIDTS / PRI / PARI / PoRA-6 / 工程&amp;AI）</w:t>
      </w:r>
    </w:p>
    <w:p w14:paraId="542C7ECF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DIDTS：多中心数据应完全统一字段体系。</w:t>
      </w:r>
    </w:p>
    <w:p w14:paraId="5F57F6C3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PRI/PARI/PoRA-6：需确保量表评分一致性（不同中心不可使用不同版本）。</w:t>
      </w:r>
    </w:p>
    <w:p w14:paraId="00B3A904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工程项目：若涉及临床数据，需与临床 CRF 完全一致。</w:t>
      </w:r>
    </w:p>
    <w:p w14:paraId="2AD818FB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AI 项目：文本数据需严格脱敏，根据 C-EMR 脱敏规范执行。</w:t>
      </w:r>
    </w:p>
    <w:p w14:paraId="17E46457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此指南每年由牵头中心更新一次，按版本号管理。</w:t>
      </w:r>
    </w:p>
    <w:p w14:paraId="6E0C3767">
      <w:pPr>
        <w:pStyle w:val="5"/>
        <w:bidi w:val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lang w:val="en-US" w:eastAsia="zh-CN"/>
        </w:rPr>
        <w:t xml:space="preserve">附件17 </w:t>
      </w:r>
      <w:r>
        <w:rPr>
          <w:rFonts w:hint="eastAsia" w:ascii="黑体" w:hAnsi="黑体" w:eastAsia="黑体" w:cs="黑体"/>
        </w:rPr>
        <w:t>伦理申请模板（含知情同意书）</w:t>
      </w:r>
    </w:p>
    <w:p w14:paraId="32903D4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一、伦理申请书（模板）</w:t>
      </w:r>
    </w:p>
    <w:p w14:paraId="213A6A3D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项目名称：</w:t>
      </w:r>
      <w:r>
        <w:rPr>
          <w:rFonts w:hint="eastAsia" w:ascii="楷体" w:hAnsi="楷体" w:eastAsia="楷体" w:cs="楷体"/>
          <w:sz w:val="21"/>
          <w:szCs w:val="21"/>
        </w:rPr>
        <w:t>（填写）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Style w:val="134"/>
          <w:rFonts w:hint="eastAsia" w:ascii="楷体" w:hAnsi="楷体" w:eastAsia="楷体" w:cs="楷体"/>
          <w:sz w:val="21"/>
          <w:szCs w:val="21"/>
        </w:rPr>
        <w:t>项目类别：</w:t>
      </w:r>
      <w:r>
        <w:rPr>
          <w:rFonts w:hint="eastAsia" w:ascii="楷体" w:hAnsi="楷体" w:eastAsia="楷体" w:cs="楷体"/>
          <w:sz w:val="21"/>
          <w:szCs w:val="21"/>
        </w:rPr>
        <w:t xml:space="preserve"> RWS / RCT / 工程学研究 / AI研究（选择）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Style w:val="134"/>
          <w:rFonts w:hint="eastAsia" w:ascii="楷体" w:hAnsi="楷体" w:eastAsia="楷体" w:cs="楷体"/>
          <w:sz w:val="21"/>
          <w:szCs w:val="21"/>
        </w:rPr>
        <w:t>申请单位：</w:t>
      </w:r>
      <w:r>
        <w:rPr>
          <w:rFonts w:hint="eastAsia" w:ascii="楷体" w:hAnsi="楷体" w:eastAsia="楷体" w:cs="楷体"/>
          <w:sz w:val="21"/>
          <w:szCs w:val="21"/>
        </w:rPr>
        <w:t xml:space="preserve"> 巴彦淖尔市医院胃肠外科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Style w:val="134"/>
          <w:rFonts w:hint="eastAsia" w:ascii="楷体" w:hAnsi="楷体" w:eastAsia="楷体" w:cs="楷体"/>
          <w:sz w:val="21"/>
          <w:szCs w:val="21"/>
        </w:rPr>
        <w:t>多中心机构：</w:t>
      </w:r>
      <w:r>
        <w:rPr>
          <w:rFonts w:hint="eastAsia" w:ascii="楷体" w:hAnsi="楷体" w:eastAsia="楷体" w:cs="楷体"/>
          <w:sz w:val="21"/>
          <w:szCs w:val="21"/>
        </w:rPr>
        <w:t>（如适用逐一列出）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Style w:val="134"/>
          <w:rFonts w:hint="eastAsia" w:ascii="楷体" w:hAnsi="楷体" w:eastAsia="楷体" w:cs="楷体"/>
          <w:sz w:val="21"/>
          <w:szCs w:val="21"/>
        </w:rPr>
        <w:t>负责人：</w:t>
      </w:r>
      <w:r>
        <w:rPr>
          <w:rFonts w:hint="eastAsia" w:ascii="楷体" w:hAnsi="楷体" w:eastAsia="楷体" w:cs="楷体"/>
          <w:sz w:val="21"/>
          <w:szCs w:val="21"/>
        </w:rPr>
        <w:t>（填写）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Style w:val="134"/>
          <w:rFonts w:hint="eastAsia" w:ascii="楷体" w:hAnsi="楷体" w:eastAsia="楷体" w:cs="楷体"/>
          <w:sz w:val="21"/>
          <w:szCs w:val="21"/>
        </w:rPr>
        <w:t>团队成员：</w:t>
      </w:r>
      <w:r>
        <w:rPr>
          <w:rFonts w:hint="eastAsia" w:ascii="楷体" w:hAnsi="楷体" w:eastAsia="楷体" w:cs="楷体"/>
          <w:sz w:val="21"/>
          <w:szCs w:val="21"/>
        </w:rPr>
        <w:t>（填写）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Style w:val="134"/>
          <w:rFonts w:hint="eastAsia" w:ascii="楷体" w:hAnsi="楷体" w:eastAsia="楷体" w:cs="楷体"/>
          <w:sz w:val="21"/>
          <w:szCs w:val="21"/>
        </w:rPr>
        <w:t>伦理提交版本号：</w:t>
      </w:r>
      <w:r>
        <w:rPr>
          <w:rFonts w:hint="eastAsia" w:ascii="楷体" w:hAnsi="楷体" w:eastAsia="楷体" w:cs="楷体"/>
          <w:sz w:val="21"/>
          <w:szCs w:val="21"/>
        </w:rPr>
        <w:t xml:space="preserve"> v1.0 / v1.1（按 </w:t>
      </w:r>
      <w:r>
        <w:rPr>
          <w:rFonts w:hint="eastAsia" w:ascii="楷体" w:hAnsi="楷体" w:eastAsia="楷体" w:cs="楷体"/>
          <w:sz w:val="21"/>
          <w:szCs w:val="21"/>
          <w:lang w:eastAsia="zh-CN"/>
        </w:rPr>
        <w:t>SRWS</w:t>
      </w:r>
      <w:r>
        <w:rPr>
          <w:rFonts w:hint="eastAsia" w:ascii="楷体" w:hAnsi="楷体" w:eastAsia="楷体" w:cs="楷体"/>
          <w:sz w:val="21"/>
          <w:szCs w:val="21"/>
        </w:rPr>
        <w:t xml:space="preserve"> 要求）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Style w:val="134"/>
          <w:rFonts w:hint="eastAsia" w:ascii="楷体" w:hAnsi="楷体" w:eastAsia="楷体" w:cs="楷体"/>
          <w:sz w:val="21"/>
          <w:szCs w:val="21"/>
        </w:rPr>
        <w:t>提交日期：</w:t>
      </w:r>
      <w:r>
        <w:rPr>
          <w:rFonts w:hint="eastAsia" w:ascii="楷体" w:hAnsi="楷体" w:eastAsia="楷体" w:cs="楷体"/>
          <w:sz w:val="21"/>
          <w:szCs w:val="21"/>
        </w:rPr>
        <w:t>（填写）</w:t>
      </w:r>
    </w:p>
    <w:p w14:paraId="189CCEB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项目背景与研究目的</w:t>
      </w:r>
    </w:p>
    <w:p w14:paraId="101B3295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简述疾病背景、未满足的临床需求、研究意义。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需明确：</w:t>
      </w:r>
    </w:p>
    <w:p w14:paraId="56706FFF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人群风险等级（轻、中、高）</w:t>
      </w:r>
    </w:p>
    <w:p w14:paraId="17A4E459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是否属于最小风险研究（如 RWS / 观察性研究）</w:t>
      </w:r>
    </w:p>
    <w:p w14:paraId="6D0644F5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是否涉及 vulnerable population（如高龄、肿瘤人群）</w:t>
      </w:r>
    </w:p>
    <w:p w14:paraId="104A944A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研究设计与实施流程</w:t>
      </w:r>
    </w:p>
    <w:p w14:paraId="3A1F7F58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须简要描述：</w:t>
      </w:r>
    </w:p>
    <w:p w14:paraId="2918DAA9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研究类型（RWS、前瞻、回顾、工程验证、AI算法训练等）</w:t>
      </w:r>
    </w:p>
    <w:p w14:paraId="7DCFD6AB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样本来源与纳入排除标准</w:t>
      </w:r>
    </w:p>
    <w:p w14:paraId="166F5027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数据采集方式（CRF、随访、设备采集、数据库抽取）</w:t>
      </w:r>
    </w:p>
    <w:p w14:paraId="15BA3DF6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安全性监测（仅工程/AI/临床试验需填写）</w:t>
      </w:r>
    </w:p>
    <w:p w14:paraId="0ACB7A63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 风险与受益评估</w:t>
      </w:r>
    </w:p>
    <w:p w14:paraId="0C3E4735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3.1 预期风险：</w:t>
      </w:r>
    </w:p>
    <w:p w14:paraId="26E76200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数据隐私风险（必写）</w:t>
      </w:r>
    </w:p>
    <w:p w14:paraId="26996174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额外检查/访视风险（如有）</w:t>
      </w:r>
    </w:p>
    <w:p w14:paraId="0DC1018E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工程设备测试风险（限工程类）</w:t>
      </w:r>
    </w:p>
    <w:p w14:paraId="0860DD4B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3.2 风险等级：</w:t>
      </w:r>
      <w:r>
        <w:rPr>
          <w:rFonts w:hint="eastAsia" w:ascii="楷体" w:hAnsi="楷体" w:eastAsia="楷体" w:cs="楷体"/>
          <w:sz w:val="21"/>
          <w:szCs w:val="21"/>
        </w:rPr>
        <w:t xml:space="preserve"> 最小风险 / 可管理风险 / 需监测风险</w:t>
      </w:r>
    </w:p>
    <w:p w14:paraId="0C456962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3.3 预期获益：</w:t>
      </w:r>
    </w:p>
    <w:p w14:paraId="421FE19F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直接受益（如适用）</w:t>
      </w:r>
    </w:p>
    <w:p w14:paraId="6A3D12A9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间接受益（改善流程、设备优化、治疗路径改进）</w:t>
      </w:r>
    </w:p>
    <w:p w14:paraId="6F82A44D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4. 伦理保护措施</w:t>
      </w:r>
    </w:p>
    <w:p w14:paraId="76D0E35A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4.1 隐私保护</w:t>
      </w:r>
    </w:p>
    <w:p w14:paraId="21DB3247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脱敏：唯一编码、三段式编码、中心—分中心映射表独立保存</w:t>
      </w:r>
    </w:p>
    <w:p w14:paraId="36F17D87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 xml:space="preserve">数据安全：SFTP、加密存储、权限管理（与 </w:t>
      </w:r>
      <w:r>
        <w:rPr>
          <w:rFonts w:hint="eastAsia" w:ascii="楷体" w:hAnsi="楷体" w:eastAsia="楷体" w:cs="楷体"/>
          <w:sz w:val="21"/>
          <w:szCs w:val="21"/>
          <w:lang w:eastAsia="zh-CN"/>
        </w:rPr>
        <w:t>SRWS</w:t>
      </w:r>
      <w:r>
        <w:rPr>
          <w:rFonts w:hint="eastAsia" w:ascii="楷体" w:hAnsi="楷体" w:eastAsia="楷体" w:cs="楷体"/>
          <w:sz w:val="21"/>
          <w:szCs w:val="21"/>
        </w:rPr>
        <w:t xml:space="preserve"> 数据对接指南一致）</w:t>
      </w:r>
    </w:p>
    <w:p w14:paraId="2EB3B817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4.2 知情同意管理</w:t>
      </w:r>
    </w:p>
    <w:p w14:paraId="158404D9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提供知情同意书最终版（附后）</w:t>
      </w:r>
    </w:p>
    <w:p w14:paraId="2B5270E1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存档方式：电子+纸质双轨制</w:t>
      </w:r>
    </w:p>
    <w:p w14:paraId="75A40B23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异地合作：分中心独立留存、定期核查</w:t>
      </w:r>
    </w:p>
    <w:p w14:paraId="422511B0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4.3 不良事件（AE/SAE）处理（如适用）</w:t>
      </w:r>
    </w:p>
    <w:p w14:paraId="5AFA7FC1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报告时限、责任人、处理流程</w:t>
      </w:r>
    </w:p>
    <w:p w14:paraId="7C5A4E4A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5. 数据管理与质量控制</w:t>
      </w:r>
    </w:p>
    <w:p w14:paraId="475741F4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CRF 一致性与数据字典对照</w:t>
      </w:r>
    </w:p>
    <w:p w14:paraId="62E4B0E4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多中心 DQC 规则</w:t>
      </w:r>
    </w:p>
    <w:p w14:paraId="741D346B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数据锁库流程（初锁/终锁）</w:t>
      </w:r>
    </w:p>
    <w:p w14:paraId="1F8F4CE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6. 项目进度与里程碑</w:t>
      </w:r>
    </w:p>
    <w:p w14:paraId="2CB8AED1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伦理通过 → 启动会 → 入组 → 随访 → 数据锁库 → 分析 → 论文 / 专利</w:t>
      </w:r>
    </w:p>
    <w:p w14:paraId="35E08611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7. 研究成果计划</w:t>
      </w:r>
    </w:p>
    <w:p w14:paraId="6DCF7630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论文类型（RWS/工程/AI）</w:t>
      </w:r>
    </w:p>
    <w:p w14:paraId="5F9B4260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专利规划（Early-stage IP Mapping）</w:t>
      </w:r>
    </w:p>
    <w:p w14:paraId="0405CE23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数据共享策略（必写说明是否共享）</w:t>
      </w:r>
    </w:p>
    <w:p w14:paraId="7402E13D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8. 声明</w:t>
      </w:r>
    </w:p>
    <w:p w14:paraId="235CC53E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研究团队承诺：</w:t>
      </w:r>
    </w:p>
    <w:p w14:paraId="328B69DA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如实上报相关信息</w:t>
      </w:r>
    </w:p>
    <w:p w14:paraId="07796A67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遵守伦理法规及医院规定</w:t>
      </w:r>
    </w:p>
    <w:p w14:paraId="22856685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二、知情同意书（Icf 模板）</w:t>
      </w:r>
    </w:p>
    <w:p w14:paraId="05F52BA9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Style w:val="134"/>
          <w:rFonts w:hint="eastAsia" w:ascii="楷体" w:hAnsi="楷体" w:eastAsia="楷体" w:cs="楷体"/>
          <w:sz w:val="21"/>
          <w:szCs w:val="21"/>
        </w:rPr>
        <w:t>项目名称：</w:t>
      </w:r>
      <w:r>
        <w:rPr>
          <w:rFonts w:hint="eastAsia" w:ascii="楷体" w:hAnsi="楷体" w:eastAsia="楷体" w:cs="楷体"/>
          <w:sz w:val="21"/>
          <w:szCs w:val="21"/>
        </w:rPr>
        <w:t>（填写）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Style w:val="134"/>
          <w:rFonts w:hint="eastAsia" w:ascii="楷体" w:hAnsi="楷体" w:eastAsia="楷体" w:cs="楷体"/>
          <w:sz w:val="21"/>
          <w:szCs w:val="21"/>
        </w:rPr>
        <w:t>患者姓名：</w:t>
      </w:r>
      <w:r>
        <w:rPr>
          <w:rFonts w:hint="eastAsia" w:ascii="楷体" w:hAnsi="楷体" w:eastAsia="楷体" w:cs="楷体"/>
          <w:sz w:val="21"/>
          <w:szCs w:val="21"/>
        </w:rPr>
        <w:t>（填写）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Style w:val="134"/>
          <w:rFonts w:hint="eastAsia" w:ascii="楷体" w:hAnsi="楷体" w:eastAsia="楷体" w:cs="楷体"/>
          <w:sz w:val="21"/>
          <w:szCs w:val="21"/>
        </w:rPr>
        <w:t>编码：</w:t>
      </w:r>
      <w:r>
        <w:rPr>
          <w:rFonts w:hint="eastAsia" w:ascii="楷体" w:hAnsi="楷体" w:eastAsia="楷体" w:cs="楷体"/>
          <w:sz w:val="21"/>
          <w:szCs w:val="21"/>
        </w:rPr>
        <w:t>（研究用唯一编码）</w:t>
      </w:r>
    </w:p>
    <w:p w14:paraId="37F6A67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1. 研究目的</w:t>
      </w:r>
    </w:p>
    <w:p w14:paraId="49A2A59B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简明说明研究为什么进行、对疾病管理或技术改进的意义。</w:t>
      </w:r>
    </w:p>
    <w:p w14:paraId="458DA1E8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2. 研究程序</w:t>
      </w:r>
    </w:p>
    <w:p w14:paraId="598AF4E1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需要做什么？（访视、问卷、随访、设备测试等）</w:t>
      </w:r>
    </w:p>
    <w:p w14:paraId="31753B93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耗时多久？</w:t>
      </w:r>
    </w:p>
    <w:p w14:paraId="569394E9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是否会影响正常诊疗？</w:t>
      </w:r>
    </w:p>
    <w:p w14:paraId="394E412B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3. 风险提示</w:t>
      </w:r>
    </w:p>
    <w:p w14:paraId="31091ABF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本研究属于“最小风险”（如 RWS）/“低风险”（工程）/“可管理风险”（AI算法训练）</w:t>
      </w:r>
    </w:p>
    <w:p w14:paraId="71441902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列明任何与患者可能相关的额外风险</w:t>
      </w:r>
    </w:p>
    <w:p w14:paraId="3C105012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4. 可能获益</w:t>
      </w:r>
    </w:p>
    <w:p w14:paraId="11160DD5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直接与间接获益分列</w:t>
      </w:r>
    </w:p>
    <w:p w14:paraId="5DA988CA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5. 隐私与数据保护</w:t>
      </w:r>
    </w:p>
    <w:p w14:paraId="06263890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编码化处理，无姓名等直接标识</w:t>
      </w:r>
    </w:p>
    <w:p w14:paraId="614D0875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数据仅用于科研，不作商业用途</w:t>
      </w:r>
    </w:p>
    <w:p w14:paraId="273AF54D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仅授权人员可访问</w:t>
      </w:r>
    </w:p>
    <w:p w14:paraId="3EB9B32C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6. 自愿参与原则</w:t>
      </w:r>
    </w:p>
    <w:p w14:paraId="1D573461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可随时退出，不影响医疗服务</w:t>
      </w:r>
    </w:p>
    <w:p w14:paraId="01E57D07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无任何惩罚或费用</w:t>
      </w:r>
    </w:p>
    <w:p w14:paraId="32DDDCC3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7. 费用与补偿</w:t>
      </w:r>
    </w:p>
    <w:p w14:paraId="65E167AE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列明受试者是否有补偿、是否涉及额外费用</w:t>
      </w:r>
    </w:p>
    <w:p w14:paraId="470DDA6E">
      <w:p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8. 联系方式</w:t>
      </w:r>
    </w:p>
    <w:p w14:paraId="7622972F">
      <w:pPr>
        <w:pStyle w:val="30"/>
        <w:keepNext w:val="0"/>
        <w:keepLines w:val="0"/>
        <w:widowControl/>
        <w:numPr>
          <w:ilvl w:val="0"/>
          <w:numId w:val="102"/>
        </w:numPr>
        <w:suppressLineNumbers w:val="0"/>
        <w:ind w:left="420" w:leftChars="0" w:hanging="420" w:firstLineChars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项目负责人：xxx（电话）</w:t>
      </w:r>
    </w:p>
    <w:p w14:paraId="5CAE9904">
      <w:pPr>
        <w:numPr>
          <w:ilvl w:val="0"/>
          <w:numId w:val="102"/>
        </w:num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伦理委员会：xxx（电话）</w:t>
      </w:r>
    </w:p>
    <w:p w14:paraId="110B4302">
      <w:pPr>
        <w:numPr>
          <w:ilvl w:val="0"/>
          <w:numId w:val="102"/>
        </w:numPr>
        <w:bidi w:val="0"/>
        <w:rPr>
          <w:rFonts w:hint="eastAsia" w:ascii="楷体" w:hAnsi="楷体" w:eastAsia="楷体" w:cs="楷体"/>
          <w:b/>
          <w:bCs/>
        </w:rPr>
      </w:pPr>
      <w:r>
        <w:rPr>
          <w:rFonts w:hint="eastAsia" w:ascii="楷体" w:hAnsi="楷体" w:eastAsia="楷体" w:cs="楷体"/>
          <w:b/>
          <w:bCs/>
        </w:rPr>
        <w:t>9. 同意签署</w:t>
      </w:r>
    </w:p>
    <w:p w14:paraId="7625AF52">
      <w:pPr>
        <w:pStyle w:val="30"/>
        <w:keepNext w:val="0"/>
        <w:keepLines w:val="0"/>
        <w:widowControl/>
        <w:suppressLineNumbers w:val="0"/>
        <w:ind w:firstLine="420" w:firstLineChars="20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我已阅读并理解上述内容，有机会提问，所有问题均得到满意回答，愿意参加本研究。</w:t>
      </w:r>
    </w:p>
    <w:p w14:paraId="2A5735B0">
      <w:pPr>
        <w:pStyle w:val="30"/>
        <w:keepNext w:val="0"/>
        <w:keepLines w:val="0"/>
        <w:widowControl/>
        <w:suppressLineNumbers w:val="0"/>
        <w:rPr>
          <w:rFonts w:hint="eastAsia" w:ascii="楷体" w:hAnsi="楷体" w:eastAsia="楷体" w:cs="楷体"/>
          <w:sz w:val="21"/>
          <w:szCs w:val="21"/>
        </w:rPr>
      </w:pPr>
      <w:r>
        <w:rPr>
          <w:rFonts w:hint="eastAsia" w:ascii="楷体" w:hAnsi="楷体" w:eastAsia="楷体" w:cs="楷体"/>
          <w:sz w:val="21"/>
          <w:szCs w:val="21"/>
        </w:rPr>
        <w:t>受试者签名：________ 日期：________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研究者签名：________ 日期：________</w:t>
      </w:r>
      <w:r>
        <w:rPr>
          <w:rFonts w:hint="eastAsia" w:ascii="楷体" w:hAnsi="楷体" w:eastAsia="楷体" w:cs="楷体"/>
          <w:sz w:val="21"/>
          <w:szCs w:val="21"/>
        </w:rPr>
        <w:br w:type="textWrapping"/>
      </w:r>
      <w:r>
        <w:rPr>
          <w:rFonts w:hint="eastAsia" w:ascii="楷体" w:hAnsi="楷体" w:eastAsia="楷体" w:cs="楷体"/>
          <w:sz w:val="21"/>
          <w:szCs w:val="21"/>
        </w:rPr>
        <w:t>见证人（如需要）：________ 日期：________</w:t>
      </w:r>
    </w:p>
    <w:p w14:paraId="38000388">
      <w:pPr>
        <w:pStyle w:val="30"/>
        <w:keepNext w:val="0"/>
        <w:keepLines w:val="0"/>
        <w:widowControl/>
        <w:numPr>
          <w:ilvl w:val="0"/>
          <w:numId w:val="0"/>
        </w:numPr>
        <w:suppressLineNumbers w:val="0"/>
        <w:ind w:leftChars="0" w:right="0" w:rightChars="0"/>
        <w:rPr>
          <w:rFonts w:hint="default" w:ascii="仿宋" w:hAnsi="仿宋" w:eastAsia="仿宋" w:cs="仿宋"/>
          <w:sz w:val="24"/>
          <w:szCs w:val="24"/>
          <w:lang w:val="en-US" w:eastAsia="zh-CN"/>
        </w:rPr>
      </w:pPr>
    </w:p>
    <w:sectPr>
      <w:foot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ＭＳ 明朝">
    <w:altName w:val="SWAstro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WAstro">
    <w:panose1 w:val="02000400000000000000"/>
    <w:charset w:val="00"/>
    <w:family w:val="auto"/>
    <w:pitch w:val="default"/>
    <w:sig w:usb0="00000003" w:usb1="00000000" w:usb2="00000000" w:usb3="00000000" w:csb0="0000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DA5D08">
    <w:pPr>
      <w:pStyle w:val="24"/>
    </w:pPr>
    <w:r>
      <w:rPr>
        <w:sz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361A41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361A41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21CA1E"/>
    <w:multiLevelType w:val="singleLevel"/>
    <w:tmpl w:val="8021CA1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82F98DEB"/>
    <w:multiLevelType w:val="singleLevel"/>
    <w:tmpl w:val="82F98DEB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">
    <w:nsid w:val="837913EC"/>
    <w:multiLevelType w:val="singleLevel"/>
    <w:tmpl w:val="837913E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8454771A"/>
    <w:multiLevelType w:val="singleLevel"/>
    <w:tmpl w:val="8454771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4">
    <w:nsid w:val="861DECBF"/>
    <w:multiLevelType w:val="singleLevel"/>
    <w:tmpl w:val="861DECB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">
    <w:nsid w:val="86EBEBFC"/>
    <w:multiLevelType w:val="singleLevel"/>
    <w:tmpl w:val="86EBEBF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">
    <w:nsid w:val="88470385"/>
    <w:multiLevelType w:val="singleLevel"/>
    <w:tmpl w:val="8847038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">
    <w:nsid w:val="89E89EEE"/>
    <w:multiLevelType w:val="singleLevel"/>
    <w:tmpl w:val="89E89EEE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">
    <w:nsid w:val="8A50259A"/>
    <w:multiLevelType w:val="singleLevel"/>
    <w:tmpl w:val="8A50259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">
    <w:nsid w:val="92E4CF62"/>
    <w:multiLevelType w:val="singleLevel"/>
    <w:tmpl w:val="92E4CF6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">
    <w:nsid w:val="9548C571"/>
    <w:multiLevelType w:val="singleLevel"/>
    <w:tmpl w:val="9548C57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1">
    <w:nsid w:val="98A16E4A"/>
    <w:multiLevelType w:val="singleLevel"/>
    <w:tmpl w:val="98A16E4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2">
    <w:nsid w:val="9D9630B8"/>
    <w:multiLevelType w:val="singleLevel"/>
    <w:tmpl w:val="9D9630B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3">
    <w:nsid w:val="A2059687"/>
    <w:multiLevelType w:val="singleLevel"/>
    <w:tmpl w:val="A205968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4">
    <w:nsid w:val="A48D1AAA"/>
    <w:multiLevelType w:val="singleLevel"/>
    <w:tmpl w:val="A48D1AAA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5">
    <w:nsid w:val="A8037491"/>
    <w:multiLevelType w:val="singleLevel"/>
    <w:tmpl w:val="A803749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6">
    <w:nsid w:val="AD35D450"/>
    <w:multiLevelType w:val="singleLevel"/>
    <w:tmpl w:val="AD35D45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7">
    <w:nsid w:val="AD925701"/>
    <w:multiLevelType w:val="singleLevel"/>
    <w:tmpl w:val="AD92570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8">
    <w:nsid w:val="ADFE9DAE"/>
    <w:multiLevelType w:val="singleLevel"/>
    <w:tmpl w:val="ADFE9DA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9">
    <w:nsid w:val="AF85015B"/>
    <w:multiLevelType w:val="singleLevel"/>
    <w:tmpl w:val="AF85015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0">
    <w:nsid w:val="B065F6E5"/>
    <w:multiLevelType w:val="singleLevel"/>
    <w:tmpl w:val="B065F6E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1">
    <w:nsid w:val="B262478E"/>
    <w:multiLevelType w:val="singleLevel"/>
    <w:tmpl w:val="B26247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2">
    <w:nsid w:val="B43FD7A1"/>
    <w:multiLevelType w:val="singleLevel"/>
    <w:tmpl w:val="B43FD7A1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3">
    <w:nsid w:val="B68C7278"/>
    <w:multiLevelType w:val="singleLevel"/>
    <w:tmpl w:val="B68C727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4">
    <w:nsid w:val="BBFADD85"/>
    <w:multiLevelType w:val="singleLevel"/>
    <w:tmpl w:val="BBFADD8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5">
    <w:nsid w:val="BE5BA351"/>
    <w:multiLevelType w:val="singleLevel"/>
    <w:tmpl w:val="BE5BA35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6">
    <w:nsid w:val="C189ECE5"/>
    <w:multiLevelType w:val="singleLevel"/>
    <w:tmpl w:val="C189ECE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27">
    <w:nsid w:val="C1D08471"/>
    <w:multiLevelType w:val="singleLevel"/>
    <w:tmpl w:val="C1D0847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8">
    <w:nsid w:val="D30B052A"/>
    <w:multiLevelType w:val="singleLevel"/>
    <w:tmpl w:val="D30B052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9">
    <w:nsid w:val="D601899C"/>
    <w:multiLevelType w:val="singleLevel"/>
    <w:tmpl w:val="D601899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0">
    <w:nsid w:val="D7620A90"/>
    <w:multiLevelType w:val="singleLevel"/>
    <w:tmpl w:val="D7620A9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1">
    <w:nsid w:val="DA838B28"/>
    <w:multiLevelType w:val="singleLevel"/>
    <w:tmpl w:val="DA838B2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2">
    <w:nsid w:val="DCDB84BC"/>
    <w:multiLevelType w:val="singleLevel"/>
    <w:tmpl w:val="DCDB84B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3">
    <w:nsid w:val="DF595A56"/>
    <w:multiLevelType w:val="singleLevel"/>
    <w:tmpl w:val="DF595A5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4">
    <w:nsid w:val="E18E1142"/>
    <w:multiLevelType w:val="singleLevel"/>
    <w:tmpl w:val="E18E114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5">
    <w:nsid w:val="E91E591C"/>
    <w:multiLevelType w:val="singleLevel"/>
    <w:tmpl w:val="E91E591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6">
    <w:nsid w:val="EA101505"/>
    <w:multiLevelType w:val="singleLevel"/>
    <w:tmpl w:val="EA101505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7">
    <w:nsid w:val="EF71963F"/>
    <w:multiLevelType w:val="singleLevel"/>
    <w:tmpl w:val="EF71963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8">
    <w:nsid w:val="F05AC245"/>
    <w:multiLevelType w:val="singleLevel"/>
    <w:tmpl w:val="F05AC245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39">
    <w:nsid w:val="F16DAE5B"/>
    <w:multiLevelType w:val="singleLevel"/>
    <w:tmpl w:val="F16DAE5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0">
    <w:nsid w:val="F1E567D0"/>
    <w:multiLevelType w:val="singleLevel"/>
    <w:tmpl w:val="F1E567D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1">
    <w:nsid w:val="F40D035E"/>
    <w:multiLevelType w:val="singleLevel"/>
    <w:tmpl w:val="F40D035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2">
    <w:nsid w:val="F89B2607"/>
    <w:multiLevelType w:val="singleLevel"/>
    <w:tmpl w:val="F89B260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3">
    <w:nsid w:val="FD1F1381"/>
    <w:multiLevelType w:val="singleLevel"/>
    <w:tmpl w:val="FD1F138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4">
    <w:nsid w:val="FD2671EE"/>
    <w:multiLevelType w:val="singleLevel"/>
    <w:tmpl w:val="FD2671E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5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46">
    <w:nsid w:val="FFFFFF7F"/>
    <w:multiLevelType w:val="singleLevel"/>
    <w:tmpl w:val="FFFFFF7F"/>
    <w:lvl w:ilvl="0" w:tentative="0">
      <w:start w:val="1"/>
      <w:numFmt w:val="decimal"/>
      <w:pStyle w:val="14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47">
    <w:nsid w:val="FFFFFF82"/>
    <w:multiLevelType w:val="singleLevel"/>
    <w:tmpl w:val="FFFFFF82"/>
    <w:lvl w:ilvl="0" w:tentative="0">
      <w:start w:val="1"/>
      <w:numFmt w:val="bullet"/>
      <w:pStyle w:val="19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48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9">
    <w:nsid w:val="FFFFFF88"/>
    <w:multiLevelType w:val="singleLevel"/>
    <w:tmpl w:val="FFFFFF88"/>
    <w:lvl w:ilvl="0" w:tentative="0">
      <w:start w:val="1"/>
      <w:numFmt w:val="decimal"/>
      <w:pStyle w:val="15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0">
    <w:nsid w:val="FFFFFF89"/>
    <w:multiLevelType w:val="singleLevel"/>
    <w:tmpl w:val="FFFFFF89"/>
    <w:lvl w:ilvl="0" w:tentative="0">
      <w:start w:val="1"/>
      <w:numFmt w:val="bullet"/>
      <w:pStyle w:val="1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51">
    <w:nsid w:val="0000A991"/>
    <w:multiLevelType w:val="multilevel"/>
    <w:tmpl w:val="0000A991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entative="0">
      <w:start w:val="0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0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entative="0">
      <w:start w:val="0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entative="0">
      <w:start w:val="0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0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entative="0">
      <w:start w:val="0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entative="0">
      <w:start w:val="0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0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52">
    <w:nsid w:val="007222F6"/>
    <w:multiLevelType w:val="singleLevel"/>
    <w:tmpl w:val="007222F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3">
    <w:nsid w:val="00A99411"/>
    <w:multiLevelType w:val="multilevel"/>
    <w:tmpl w:val="00A99411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abstractNum w:abstractNumId="54">
    <w:nsid w:val="02835644"/>
    <w:multiLevelType w:val="singleLevel"/>
    <w:tmpl w:val="0283564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5">
    <w:nsid w:val="04FB34BB"/>
    <w:multiLevelType w:val="singleLevel"/>
    <w:tmpl w:val="04FB34B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6">
    <w:nsid w:val="07F64E70"/>
    <w:multiLevelType w:val="singleLevel"/>
    <w:tmpl w:val="07F64E7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7">
    <w:nsid w:val="0F175783"/>
    <w:multiLevelType w:val="singleLevel"/>
    <w:tmpl w:val="0F17578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8">
    <w:nsid w:val="13D7AF01"/>
    <w:multiLevelType w:val="singleLevel"/>
    <w:tmpl w:val="13D7AF0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9">
    <w:nsid w:val="17B48957"/>
    <w:multiLevelType w:val="singleLevel"/>
    <w:tmpl w:val="17B48957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0">
    <w:nsid w:val="17F3406C"/>
    <w:multiLevelType w:val="singleLevel"/>
    <w:tmpl w:val="17F3406C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1">
    <w:nsid w:val="19642D79"/>
    <w:multiLevelType w:val="multilevel"/>
    <w:tmpl w:val="19642D79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abstractNum w:abstractNumId="62">
    <w:nsid w:val="1A7F31EC"/>
    <w:multiLevelType w:val="singleLevel"/>
    <w:tmpl w:val="1A7F31E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3">
    <w:nsid w:val="1BA71657"/>
    <w:multiLevelType w:val="singleLevel"/>
    <w:tmpl w:val="1BA71657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hint="default" w:ascii="Wingdings" w:hAnsi="Wingdings"/>
      </w:rPr>
    </w:lvl>
  </w:abstractNum>
  <w:abstractNum w:abstractNumId="64">
    <w:nsid w:val="1E201ADC"/>
    <w:multiLevelType w:val="singleLevel"/>
    <w:tmpl w:val="1E201AD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5">
    <w:nsid w:val="207A3653"/>
    <w:multiLevelType w:val="singleLevel"/>
    <w:tmpl w:val="207A365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66">
    <w:nsid w:val="23562631"/>
    <w:multiLevelType w:val="singleLevel"/>
    <w:tmpl w:val="23562631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7">
    <w:nsid w:val="2CC81989"/>
    <w:multiLevelType w:val="singleLevel"/>
    <w:tmpl w:val="2CC8198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8">
    <w:nsid w:val="3070CE4B"/>
    <w:multiLevelType w:val="multilevel"/>
    <w:tmpl w:val="3070CE4B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ind w:left="1440" w:hanging="360"/>
      </w:pPr>
    </w:lvl>
    <w:lvl w:ilvl="2" w:tentative="0">
      <w:start w:val="1"/>
      <w:numFmt w:val="decimal"/>
      <w:lvlText w:val="%3."/>
      <w:lvlJc w:val="left"/>
      <w:pPr>
        <w:ind w:left="2160" w:hanging="36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decimal"/>
      <w:lvlText w:val="%5."/>
      <w:lvlJc w:val="left"/>
      <w:pPr>
        <w:ind w:left="3600" w:hanging="360"/>
      </w:pPr>
    </w:lvl>
    <w:lvl w:ilvl="5" w:tentative="0">
      <w:start w:val="1"/>
      <w:numFmt w:val="decimal"/>
      <w:lvlText w:val="%6."/>
      <w:lvlJc w:val="left"/>
      <w:pPr>
        <w:ind w:left="4320" w:hanging="36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decimal"/>
      <w:lvlText w:val="%8."/>
      <w:lvlJc w:val="left"/>
      <w:pPr>
        <w:ind w:left="5760" w:hanging="360"/>
      </w:pPr>
    </w:lvl>
    <w:lvl w:ilvl="8" w:tentative="0">
      <w:start w:val="1"/>
      <w:numFmt w:val="decimal"/>
      <w:lvlText w:val="%9."/>
      <w:lvlJc w:val="left"/>
      <w:pPr>
        <w:ind w:left="6480" w:hanging="360"/>
      </w:pPr>
    </w:lvl>
  </w:abstractNum>
  <w:abstractNum w:abstractNumId="69">
    <w:nsid w:val="35A4E792"/>
    <w:multiLevelType w:val="singleLevel"/>
    <w:tmpl w:val="35A4E79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0">
    <w:nsid w:val="3A42F5BF"/>
    <w:multiLevelType w:val="singleLevel"/>
    <w:tmpl w:val="3A42F5B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1">
    <w:nsid w:val="3FF9D477"/>
    <w:multiLevelType w:val="singleLevel"/>
    <w:tmpl w:val="3FF9D477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2">
    <w:nsid w:val="416BABB1"/>
    <w:multiLevelType w:val="singleLevel"/>
    <w:tmpl w:val="416BABB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3">
    <w:nsid w:val="4238FA8B"/>
    <w:multiLevelType w:val="singleLevel"/>
    <w:tmpl w:val="4238FA8B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4">
    <w:nsid w:val="462D6329"/>
    <w:multiLevelType w:val="singleLevel"/>
    <w:tmpl w:val="462D632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5">
    <w:nsid w:val="4839A018"/>
    <w:multiLevelType w:val="singleLevel"/>
    <w:tmpl w:val="4839A01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6">
    <w:nsid w:val="48491AF3"/>
    <w:multiLevelType w:val="singleLevel"/>
    <w:tmpl w:val="48491AF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7">
    <w:nsid w:val="48B2B0E9"/>
    <w:multiLevelType w:val="singleLevel"/>
    <w:tmpl w:val="48B2B0E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78">
    <w:nsid w:val="49A4C3F8"/>
    <w:multiLevelType w:val="singleLevel"/>
    <w:tmpl w:val="49A4C3F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79">
    <w:nsid w:val="4AB8F36F"/>
    <w:multiLevelType w:val="singleLevel"/>
    <w:tmpl w:val="4AB8F36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0">
    <w:nsid w:val="4BCAD7A2"/>
    <w:multiLevelType w:val="singleLevel"/>
    <w:tmpl w:val="4BCAD7A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1">
    <w:nsid w:val="4FC608D8"/>
    <w:multiLevelType w:val="singleLevel"/>
    <w:tmpl w:val="4FC608D8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82">
    <w:nsid w:val="519561B9"/>
    <w:multiLevelType w:val="singleLevel"/>
    <w:tmpl w:val="519561B9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3">
    <w:nsid w:val="51C4852D"/>
    <w:multiLevelType w:val="singleLevel"/>
    <w:tmpl w:val="51C4852D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4">
    <w:nsid w:val="54AD2424"/>
    <w:multiLevelType w:val="singleLevel"/>
    <w:tmpl w:val="54AD2424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5">
    <w:nsid w:val="5811CBE3"/>
    <w:multiLevelType w:val="singleLevel"/>
    <w:tmpl w:val="5811CBE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6">
    <w:nsid w:val="58BB44EC"/>
    <w:multiLevelType w:val="singleLevel"/>
    <w:tmpl w:val="58BB44E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7">
    <w:nsid w:val="59A15EDF"/>
    <w:multiLevelType w:val="singleLevel"/>
    <w:tmpl w:val="59A15ED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8">
    <w:nsid w:val="5B121548"/>
    <w:multiLevelType w:val="singleLevel"/>
    <w:tmpl w:val="5B12154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89">
    <w:nsid w:val="5D562143"/>
    <w:multiLevelType w:val="singleLevel"/>
    <w:tmpl w:val="5D56214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0">
    <w:nsid w:val="67FD3B00"/>
    <w:multiLevelType w:val="singleLevel"/>
    <w:tmpl w:val="67FD3B0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1">
    <w:nsid w:val="68AF9762"/>
    <w:multiLevelType w:val="singleLevel"/>
    <w:tmpl w:val="68AF976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2">
    <w:nsid w:val="68EA6F6A"/>
    <w:multiLevelType w:val="singleLevel"/>
    <w:tmpl w:val="68EA6F6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3">
    <w:nsid w:val="69B74159"/>
    <w:multiLevelType w:val="singleLevel"/>
    <w:tmpl w:val="69B74159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4">
    <w:nsid w:val="69BA9743"/>
    <w:multiLevelType w:val="singleLevel"/>
    <w:tmpl w:val="69BA974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5">
    <w:nsid w:val="6EA91A1E"/>
    <w:multiLevelType w:val="singleLevel"/>
    <w:tmpl w:val="6EA91A1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6">
    <w:nsid w:val="7248F3EA"/>
    <w:multiLevelType w:val="singleLevel"/>
    <w:tmpl w:val="7248F3E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97">
    <w:nsid w:val="73866F36"/>
    <w:multiLevelType w:val="singleLevel"/>
    <w:tmpl w:val="73866F36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8">
    <w:nsid w:val="7387C68F"/>
    <w:multiLevelType w:val="singleLevel"/>
    <w:tmpl w:val="7387C68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99">
    <w:nsid w:val="74E4E010"/>
    <w:multiLevelType w:val="singleLevel"/>
    <w:tmpl w:val="74E4E010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100">
    <w:nsid w:val="7F5B9453"/>
    <w:multiLevelType w:val="singleLevel"/>
    <w:tmpl w:val="7F5B945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46"/>
  </w:num>
  <w:num w:numId="2">
    <w:abstractNumId w:val="49"/>
  </w:num>
  <w:num w:numId="3">
    <w:abstractNumId w:val="50"/>
  </w:num>
  <w:num w:numId="4">
    <w:abstractNumId w:val="47"/>
  </w:num>
  <w:num w:numId="5">
    <w:abstractNumId w:val="45"/>
  </w:num>
  <w:num w:numId="6">
    <w:abstractNumId w:val="48"/>
  </w:num>
  <w:num w:numId="7">
    <w:abstractNumId w:val="22"/>
  </w:num>
  <w:num w:numId="8">
    <w:abstractNumId w:val="9"/>
  </w:num>
  <w:num w:numId="9">
    <w:abstractNumId w:val="2"/>
  </w:num>
  <w:num w:numId="10">
    <w:abstractNumId w:val="95"/>
  </w:num>
  <w:num w:numId="11">
    <w:abstractNumId w:val="86"/>
  </w:num>
  <w:num w:numId="12">
    <w:abstractNumId w:val="73"/>
  </w:num>
  <w:num w:numId="13">
    <w:abstractNumId w:val="19"/>
  </w:num>
  <w:num w:numId="14">
    <w:abstractNumId w:val="71"/>
  </w:num>
  <w:num w:numId="15">
    <w:abstractNumId w:val="41"/>
  </w:num>
  <w:num w:numId="16">
    <w:abstractNumId w:val="87"/>
  </w:num>
  <w:num w:numId="17">
    <w:abstractNumId w:val="89"/>
  </w:num>
  <w:num w:numId="18">
    <w:abstractNumId w:val="82"/>
  </w:num>
  <w:num w:numId="19">
    <w:abstractNumId w:val="60"/>
  </w:num>
  <w:num w:numId="20">
    <w:abstractNumId w:val="62"/>
  </w:num>
  <w:num w:numId="21">
    <w:abstractNumId w:val="18"/>
  </w:num>
  <w:num w:numId="22">
    <w:abstractNumId w:val="58"/>
  </w:num>
  <w:num w:numId="23">
    <w:abstractNumId w:val="88"/>
  </w:num>
  <w:num w:numId="24">
    <w:abstractNumId w:val="13"/>
  </w:num>
  <w:num w:numId="25">
    <w:abstractNumId w:val="72"/>
  </w:num>
  <w:num w:numId="26">
    <w:abstractNumId w:val="64"/>
  </w:num>
  <w:num w:numId="27">
    <w:abstractNumId w:val="94"/>
  </w:num>
  <w:num w:numId="28">
    <w:abstractNumId w:val="40"/>
  </w:num>
  <w:num w:numId="29">
    <w:abstractNumId w:val="28"/>
  </w:num>
  <w:num w:numId="30">
    <w:abstractNumId w:val="34"/>
  </w:num>
  <w:num w:numId="31">
    <w:abstractNumId w:val="10"/>
  </w:num>
  <w:num w:numId="32">
    <w:abstractNumId w:val="25"/>
  </w:num>
  <w:num w:numId="33">
    <w:abstractNumId w:val="24"/>
  </w:num>
  <w:num w:numId="34">
    <w:abstractNumId w:val="75"/>
  </w:num>
  <w:num w:numId="35">
    <w:abstractNumId w:val="70"/>
  </w:num>
  <w:num w:numId="36">
    <w:abstractNumId w:val="31"/>
  </w:num>
  <w:num w:numId="37">
    <w:abstractNumId w:val="57"/>
  </w:num>
  <w:num w:numId="38">
    <w:abstractNumId w:val="54"/>
  </w:num>
  <w:num w:numId="39">
    <w:abstractNumId w:val="6"/>
  </w:num>
  <w:num w:numId="40">
    <w:abstractNumId w:val="99"/>
  </w:num>
  <w:num w:numId="41">
    <w:abstractNumId w:val="98"/>
  </w:num>
  <w:num w:numId="42">
    <w:abstractNumId w:val="42"/>
  </w:num>
  <w:num w:numId="43">
    <w:abstractNumId w:val="21"/>
  </w:num>
  <w:num w:numId="44">
    <w:abstractNumId w:val="38"/>
  </w:num>
  <w:num w:numId="45">
    <w:abstractNumId w:val="20"/>
  </w:num>
  <w:num w:numId="46">
    <w:abstractNumId w:val="14"/>
  </w:num>
  <w:num w:numId="47">
    <w:abstractNumId w:val="32"/>
  </w:num>
  <w:num w:numId="48">
    <w:abstractNumId w:val="36"/>
  </w:num>
  <w:num w:numId="49">
    <w:abstractNumId w:val="52"/>
  </w:num>
  <w:num w:numId="50">
    <w:abstractNumId w:val="79"/>
  </w:num>
  <w:num w:numId="51">
    <w:abstractNumId w:val="93"/>
  </w:num>
  <w:num w:numId="52">
    <w:abstractNumId w:val="80"/>
  </w:num>
  <w:num w:numId="53">
    <w:abstractNumId w:val="33"/>
  </w:num>
  <w:num w:numId="54">
    <w:abstractNumId w:val="97"/>
  </w:num>
  <w:num w:numId="55">
    <w:abstractNumId w:val="3"/>
  </w:num>
  <w:num w:numId="56">
    <w:abstractNumId w:val="23"/>
  </w:num>
  <w:num w:numId="57">
    <w:abstractNumId w:val="1"/>
  </w:num>
  <w:num w:numId="58">
    <w:abstractNumId w:val="30"/>
  </w:num>
  <w:num w:numId="59">
    <w:abstractNumId w:val="84"/>
  </w:num>
  <w:num w:numId="60">
    <w:abstractNumId w:val="16"/>
  </w:num>
  <w:num w:numId="61">
    <w:abstractNumId w:val="12"/>
  </w:num>
  <w:num w:numId="62">
    <w:abstractNumId w:val="92"/>
  </w:num>
  <w:num w:numId="63">
    <w:abstractNumId w:val="78"/>
  </w:num>
  <w:num w:numId="64">
    <w:abstractNumId w:val="56"/>
  </w:num>
  <w:num w:numId="65">
    <w:abstractNumId w:val="17"/>
  </w:num>
  <w:num w:numId="66">
    <w:abstractNumId w:val="76"/>
  </w:num>
  <w:num w:numId="67">
    <w:abstractNumId w:val="4"/>
  </w:num>
  <w:num w:numId="68">
    <w:abstractNumId w:val="81"/>
  </w:num>
  <w:num w:numId="69">
    <w:abstractNumId w:val="65"/>
  </w:num>
  <w:num w:numId="70">
    <w:abstractNumId w:val="66"/>
  </w:num>
  <w:num w:numId="71">
    <w:abstractNumId w:val="7"/>
  </w:num>
  <w:num w:numId="72">
    <w:abstractNumId w:val="51"/>
  </w:num>
  <w:num w:numId="73">
    <w:abstractNumId w:val="0"/>
  </w:num>
  <w:num w:numId="7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68"/>
  </w:num>
  <w:num w:numId="76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61"/>
  </w:num>
  <w:num w:numId="78">
    <w:abstractNumId w:val="11"/>
  </w:num>
  <w:num w:numId="79">
    <w:abstractNumId w:val="26"/>
  </w:num>
  <w:num w:numId="80">
    <w:abstractNumId w:val="43"/>
  </w:num>
  <w:num w:numId="81">
    <w:abstractNumId w:val="69"/>
  </w:num>
  <w:num w:numId="82">
    <w:abstractNumId w:val="15"/>
  </w:num>
  <w:num w:numId="83">
    <w:abstractNumId w:val="63"/>
  </w:num>
  <w:num w:numId="84">
    <w:abstractNumId w:val="100"/>
  </w:num>
  <w:num w:numId="85">
    <w:abstractNumId w:val="85"/>
  </w:num>
  <w:num w:numId="86">
    <w:abstractNumId w:val="59"/>
  </w:num>
  <w:num w:numId="87">
    <w:abstractNumId w:val="8"/>
  </w:num>
  <w:num w:numId="88">
    <w:abstractNumId w:val="5"/>
  </w:num>
  <w:num w:numId="89">
    <w:abstractNumId w:val="96"/>
  </w:num>
  <w:num w:numId="90">
    <w:abstractNumId w:val="67"/>
  </w:num>
  <w:num w:numId="91">
    <w:abstractNumId w:val="29"/>
  </w:num>
  <w:num w:numId="92">
    <w:abstractNumId w:val="27"/>
  </w:num>
  <w:num w:numId="93">
    <w:abstractNumId w:val="83"/>
  </w:num>
  <w:num w:numId="94">
    <w:abstractNumId w:val="39"/>
  </w:num>
  <w:num w:numId="95">
    <w:abstractNumId w:val="55"/>
  </w:num>
  <w:num w:numId="96">
    <w:abstractNumId w:val="77"/>
  </w:num>
  <w:num w:numId="97">
    <w:abstractNumId w:val="44"/>
  </w:num>
  <w:num w:numId="98">
    <w:abstractNumId w:val="91"/>
  </w:num>
  <w:num w:numId="99">
    <w:abstractNumId w:val="37"/>
  </w:num>
  <w:num w:numId="100">
    <w:abstractNumId w:val="35"/>
  </w:num>
  <w:num w:numId="101">
    <w:abstractNumId w:val="90"/>
  </w:num>
  <w:num w:numId="102">
    <w:abstractNumId w:val="7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1CE0E2D5-9070-435C-94DB-4152E44C64B2}"/>
    <w:docVar w:name="KY_MEDREF_VERSION" w:val="3"/>
  </w:docVars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E537F7"/>
    <w:rsid w:val="00FC693F"/>
    <w:rsid w:val="010A269A"/>
    <w:rsid w:val="01443F22"/>
    <w:rsid w:val="02F92BCA"/>
    <w:rsid w:val="073A5041"/>
    <w:rsid w:val="07F41CF0"/>
    <w:rsid w:val="093A0065"/>
    <w:rsid w:val="09C91966"/>
    <w:rsid w:val="0A044DA3"/>
    <w:rsid w:val="0C5D31C8"/>
    <w:rsid w:val="10157136"/>
    <w:rsid w:val="11FF3BFA"/>
    <w:rsid w:val="12E623FB"/>
    <w:rsid w:val="135F3736"/>
    <w:rsid w:val="14817C4F"/>
    <w:rsid w:val="180B193D"/>
    <w:rsid w:val="1891086B"/>
    <w:rsid w:val="1DAA14B9"/>
    <w:rsid w:val="1E1F7EF1"/>
    <w:rsid w:val="1F9246F4"/>
    <w:rsid w:val="20A15D31"/>
    <w:rsid w:val="23A22E33"/>
    <w:rsid w:val="24D66A3D"/>
    <w:rsid w:val="260929B3"/>
    <w:rsid w:val="27B17E88"/>
    <w:rsid w:val="2AA147A1"/>
    <w:rsid w:val="2AB32EED"/>
    <w:rsid w:val="2C55293D"/>
    <w:rsid w:val="2C995312"/>
    <w:rsid w:val="2D9A1342"/>
    <w:rsid w:val="2E402DEC"/>
    <w:rsid w:val="2F9C6646"/>
    <w:rsid w:val="311E0784"/>
    <w:rsid w:val="33681A48"/>
    <w:rsid w:val="346B7594"/>
    <w:rsid w:val="349E665E"/>
    <w:rsid w:val="37894282"/>
    <w:rsid w:val="394C46CD"/>
    <w:rsid w:val="39830783"/>
    <w:rsid w:val="3B781D15"/>
    <w:rsid w:val="3BEA3494"/>
    <w:rsid w:val="3C063FD4"/>
    <w:rsid w:val="3D422253"/>
    <w:rsid w:val="3DC65448"/>
    <w:rsid w:val="3EB00B2F"/>
    <w:rsid w:val="42415146"/>
    <w:rsid w:val="43661B86"/>
    <w:rsid w:val="43A43045"/>
    <w:rsid w:val="43F22F06"/>
    <w:rsid w:val="45B93230"/>
    <w:rsid w:val="45BB5EA1"/>
    <w:rsid w:val="46893738"/>
    <w:rsid w:val="47BB36B5"/>
    <w:rsid w:val="48052A04"/>
    <w:rsid w:val="488702BD"/>
    <w:rsid w:val="492124BF"/>
    <w:rsid w:val="49940EE3"/>
    <w:rsid w:val="4D4662F1"/>
    <w:rsid w:val="4D7A7FFD"/>
    <w:rsid w:val="4F262FEB"/>
    <w:rsid w:val="508F5DB8"/>
    <w:rsid w:val="50CE2F2D"/>
    <w:rsid w:val="554533AB"/>
    <w:rsid w:val="56455A3F"/>
    <w:rsid w:val="572B3D87"/>
    <w:rsid w:val="57FA63FD"/>
    <w:rsid w:val="59A567F5"/>
    <w:rsid w:val="59FE3934"/>
    <w:rsid w:val="5BBB1A7E"/>
    <w:rsid w:val="5CE50174"/>
    <w:rsid w:val="5E9A405C"/>
    <w:rsid w:val="5E9ED17B"/>
    <w:rsid w:val="6207629E"/>
    <w:rsid w:val="66E7044C"/>
    <w:rsid w:val="67B37334"/>
    <w:rsid w:val="67BB6319"/>
    <w:rsid w:val="692F0147"/>
    <w:rsid w:val="6A427B6A"/>
    <w:rsid w:val="6A8372C1"/>
    <w:rsid w:val="6FFD4727"/>
    <w:rsid w:val="708136C0"/>
    <w:rsid w:val="71EE6740"/>
    <w:rsid w:val="71F609B5"/>
    <w:rsid w:val="73CD7E9D"/>
    <w:rsid w:val="77DB7B5A"/>
    <w:rsid w:val="7AD014CC"/>
    <w:rsid w:val="7C804CED"/>
    <w:rsid w:val="7E3955DA"/>
    <w:rsid w:val="7FDB6FC6"/>
    <w:rsid w:val="B62BD069"/>
    <w:rsid w:val="BFE75AE1"/>
    <w:rsid w:val="EEFF5FF7"/>
    <w:rsid w:val="EF7F904D"/>
    <w:rsid w:val="FFEFC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qFormat="1"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qFormat="1"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qFormat="1"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9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40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1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7"/>
    <w:link w:val="151"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8">
    <w:name w:val="heading 5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9">
    <w:name w:val="heading 6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10">
    <w:name w:val="heading 7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1">
    <w:name w:val="heading 8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2">
    <w:name w:val="heading 9"/>
    <w:basedOn w:val="1"/>
    <w:next w:val="1"/>
    <w:link w:val="156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3">
    <w:name w:val="Default Paragraph Font"/>
    <w:semiHidden/>
    <w:unhideWhenUsed/>
    <w:qFormat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8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7">
    <w:name w:val="Body Text"/>
    <w:basedOn w:val="1"/>
    <w:link w:val="145"/>
    <w:unhideWhenUsed/>
    <w:qFormat/>
    <w:uiPriority w:val="99"/>
    <w:pPr>
      <w:spacing w:after="120"/>
    </w:pPr>
  </w:style>
  <w:style w:type="paragraph" w:styleId="13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4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5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7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8">
    <w:name w:val="Body Text 3"/>
    <w:basedOn w:val="1"/>
    <w:link w:val="147"/>
    <w:unhideWhenUsed/>
    <w:qFormat/>
    <w:uiPriority w:val="99"/>
    <w:pPr>
      <w:spacing w:after="120"/>
    </w:pPr>
    <w:rPr>
      <w:sz w:val="16"/>
      <w:szCs w:val="16"/>
    </w:rPr>
  </w:style>
  <w:style w:type="paragraph" w:styleId="19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3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6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31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2">
    <w:name w:val="Title"/>
    <w:basedOn w:val="1"/>
    <w:next w:val="1"/>
    <w:link w:val="142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4">
    <w:name w:val="Table Grid"/>
    <w:basedOn w:val="3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5">
    <w:name w:val="Light Shading"/>
    <w:basedOn w:val="33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6">
    <w:name w:val="Light Shading Accent 1"/>
    <w:basedOn w:val="33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7">
    <w:name w:val="Light Shading Accent 2"/>
    <w:basedOn w:val="33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8">
    <w:name w:val="Light Shading Accent 3"/>
    <w:basedOn w:val="33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9">
    <w:name w:val="Light Shading Accent 4"/>
    <w:basedOn w:val="33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0">
    <w:name w:val="Light Shading Accent 5"/>
    <w:basedOn w:val="33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1">
    <w:name w:val="Light Shading Accent 6"/>
    <w:basedOn w:val="33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2">
    <w:name w:val="Light List"/>
    <w:basedOn w:val="33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3">
    <w:name w:val="Light List Accent 1"/>
    <w:basedOn w:val="33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4">
    <w:name w:val="Light List Accent 2"/>
    <w:basedOn w:val="33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5">
    <w:name w:val="Light List Accent 3"/>
    <w:basedOn w:val="33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6">
    <w:name w:val="Light List Accent 4"/>
    <w:basedOn w:val="33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7">
    <w:name w:val="Light List Accent 5"/>
    <w:basedOn w:val="33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8">
    <w:name w:val="Light List Accent 6"/>
    <w:basedOn w:val="33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9">
    <w:name w:val="Light Grid"/>
    <w:basedOn w:val="33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0">
    <w:name w:val="Light Grid Accent 1"/>
    <w:basedOn w:val="33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1">
    <w:name w:val="Light Grid Accent 2"/>
    <w:basedOn w:val="33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2">
    <w:name w:val="Light Grid Accent 3"/>
    <w:basedOn w:val="33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3">
    <w:name w:val="Light Grid Accent 4"/>
    <w:basedOn w:val="33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4">
    <w:name w:val="Light Grid Accent 5"/>
    <w:basedOn w:val="33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5">
    <w:name w:val="Light Grid Accent 6"/>
    <w:basedOn w:val="33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6">
    <w:name w:val="Medium Shading 1"/>
    <w:basedOn w:val="33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1"/>
    <w:basedOn w:val="33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2"/>
    <w:basedOn w:val="33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3"/>
    <w:basedOn w:val="33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4"/>
    <w:basedOn w:val="33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5"/>
    <w:basedOn w:val="33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6"/>
    <w:basedOn w:val="33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1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2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3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4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5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6"/>
    <w:basedOn w:val="33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Lis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1">
    <w:name w:val="Medium List 1 Accent 1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2">
    <w:name w:val="Medium List 1 Accent 2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3">
    <w:name w:val="Medium List 1 Accent 3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4">
    <w:name w:val="Medium List 1 Accent 4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5">
    <w:name w:val="Medium List 1 Accent 5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6">
    <w:name w:val="Medium List 1 Accent 6"/>
    <w:basedOn w:val="33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7">
    <w:name w:val="Medium Lis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1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2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3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4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5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6"/>
    <w:basedOn w:val="33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Grid 1"/>
    <w:basedOn w:val="33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5">
    <w:name w:val="Medium Grid 1 Accent 1"/>
    <w:basedOn w:val="33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6">
    <w:name w:val="Medium Grid 1 Accent 2"/>
    <w:basedOn w:val="33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7">
    <w:name w:val="Medium Grid 1 Accent 3"/>
    <w:basedOn w:val="33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8">
    <w:name w:val="Medium Grid 1 Accent 4"/>
    <w:basedOn w:val="33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9">
    <w:name w:val="Medium Grid 1 Accent 5"/>
    <w:basedOn w:val="33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0">
    <w:name w:val="Medium Grid 1 Accent 6"/>
    <w:basedOn w:val="33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33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9">
    <w:name w:val="Medium Grid 3 Accent 1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0">
    <w:name w:val="Medium Grid 3 Accent 2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1">
    <w:name w:val="Medium Grid 3 Accent 3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2">
    <w:name w:val="Medium Grid 3 Accent 4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3">
    <w:name w:val="Medium Grid 3 Accent 5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4">
    <w:name w:val="Medium Grid 3 Accent 6"/>
    <w:basedOn w:val="33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5">
    <w:name w:val="Dark List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6">
    <w:name w:val="Dark List Accent 1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7">
    <w:name w:val="Dark List Accent 2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8">
    <w:name w:val="Dark List Accent 3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9">
    <w:name w:val="Dark List Accent 4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0">
    <w:name w:val="Dark List Accent 5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1">
    <w:name w:val="Dark List Accent 6"/>
    <w:basedOn w:val="33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2">
    <w:name w:val="Colorful Shading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1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2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3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6">
    <w:name w:val="Colorful Shading Accent 4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5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Shading Accent 6"/>
    <w:basedOn w:val="33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List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0">
    <w:name w:val="Colorful List Accent 1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1">
    <w:name w:val="Colorful List Accent 2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2">
    <w:name w:val="Colorful List Accent 3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3">
    <w:name w:val="Colorful List Accent 4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4">
    <w:name w:val="Colorful List Accent 5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5">
    <w:name w:val="Colorful List Accent 6"/>
    <w:basedOn w:val="33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6">
    <w:name w:val="Colorful Grid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7">
    <w:name w:val="Colorful Grid Accent 1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8">
    <w:name w:val="Colorful Grid Accent 2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9">
    <w:name w:val="Colorful Grid Accent 3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0">
    <w:name w:val="Colorful Grid Accent 4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1">
    <w:name w:val="Colorful Grid Accent 5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2">
    <w:name w:val="Colorful Grid Accent 6"/>
    <w:basedOn w:val="33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4">
    <w:name w:val="Strong"/>
    <w:basedOn w:val="133"/>
    <w:qFormat/>
    <w:uiPriority w:val="22"/>
    <w:rPr>
      <w:b/>
      <w:bCs/>
    </w:rPr>
  </w:style>
  <w:style w:type="character" w:styleId="135">
    <w:name w:val="Emphasis"/>
    <w:basedOn w:val="133"/>
    <w:qFormat/>
    <w:uiPriority w:val="20"/>
    <w:rPr>
      <w:i/>
      <w:iCs/>
    </w:rPr>
  </w:style>
  <w:style w:type="character" w:customStyle="1" w:styleId="136">
    <w:name w:val="Header Char"/>
    <w:basedOn w:val="133"/>
    <w:link w:val="25"/>
    <w:qFormat/>
    <w:uiPriority w:val="99"/>
  </w:style>
  <w:style w:type="character" w:customStyle="1" w:styleId="137">
    <w:name w:val="Footer Char"/>
    <w:basedOn w:val="133"/>
    <w:link w:val="24"/>
    <w:qFormat/>
    <w:uiPriority w:val="99"/>
  </w:style>
  <w:style w:type="paragraph" w:styleId="138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9">
    <w:name w:val="Heading 1 Char"/>
    <w:basedOn w:val="133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40">
    <w:name w:val="Heading 2 Char"/>
    <w:basedOn w:val="133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1">
    <w:name w:val="Heading 3 Char"/>
    <w:basedOn w:val="133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2">
    <w:name w:val="Title Char"/>
    <w:basedOn w:val="133"/>
    <w:link w:val="32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3">
    <w:name w:val="Subtitle Char"/>
    <w:basedOn w:val="133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4">
    <w:name w:val="List Paragraph"/>
    <w:basedOn w:val="1"/>
    <w:qFormat/>
    <w:uiPriority w:val="34"/>
    <w:pPr>
      <w:ind w:left="720"/>
      <w:contextualSpacing/>
    </w:pPr>
  </w:style>
  <w:style w:type="character" w:customStyle="1" w:styleId="145">
    <w:name w:val="Body Text Char"/>
    <w:basedOn w:val="133"/>
    <w:link w:val="7"/>
    <w:qFormat/>
    <w:uiPriority w:val="99"/>
  </w:style>
  <w:style w:type="character" w:customStyle="1" w:styleId="146">
    <w:name w:val="Body Text 2 Char"/>
    <w:basedOn w:val="133"/>
    <w:link w:val="28"/>
    <w:qFormat/>
    <w:uiPriority w:val="99"/>
  </w:style>
  <w:style w:type="character" w:customStyle="1" w:styleId="147">
    <w:name w:val="Body Text 3 Char"/>
    <w:basedOn w:val="133"/>
    <w:link w:val="18"/>
    <w:qFormat/>
    <w:uiPriority w:val="99"/>
    <w:rPr>
      <w:sz w:val="16"/>
      <w:szCs w:val="16"/>
    </w:rPr>
  </w:style>
  <w:style w:type="character" w:customStyle="1" w:styleId="148">
    <w:name w:val="Macro Text Char"/>
    <w:basedOn w:val="133"/>
    <w:link w:val="2"/>
    <w:qFormat/>
    <w:uiPriority w:val="99"/>
    <w:rPr>
      <w:rFonts w:ascii="Courier" w:hAnsi="Courier"/>
      <w:sz w:val="20"/>
      <w:szCs w:val="20"/>
    </w:rPr>
  </w:style>
  <w:style w:type="paragraph" w:styleId="149">
    <w:name w:val="Quote"/>
    <w:basedOn w:val="1"/>
    <w:next w:val="1"/>
    <w:link w:val="1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Quote Char"/>
    <w:basedOn w:val="133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1">
    <w:name w:val="Heading 4 Char"/>
    <w:basedOn w:val="133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2">
    <w:name w:val="Heading 5 Char"/>
    <w:basedOn w:val="133"/>
    <w:link w:val="8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3">
    <w:name w:val="Heading 6 Char"/>
    <w:basedOn w:val="133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4">
    <w:name w:val="Heading 7 Char"/>
    <w:basedOn w:val="133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5">
    <w:name w:val="Heading 8 Char"/>
    <w:basedOn w:val="133"/>
    <w:link w:val="11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6">
    <w:name w:val="Heading 9 Char"/>
    <w:basedOn w:val="133"/>
    <w:link w:val="12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7">
    <w:name w:val="Intense Quote"/>
    <w:basedOn w:val="1"/>
    <w:next w:val="1"/>
    <w:link w:val="158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Intense Quote Char"/>
    <w:basedOn w:val="133"/>
    <w:link w:val="157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9">
    <w:name w:val="Subtle Emphasis"/>
    <w:basedOn w:val="133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60">
    <w:name w:val="Intense Emphasis"/>
    <w:basedOn w:val="133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1">
    <w:name w:val="Subtle Reference"/>
    <w:basedOn w:val="133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2">
    <w:name w:val="Intense Reference"/>
    <w:basedOn w:val="133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3">
    <w:name w:val="Book Title"/>
    <w:basedOn w:val="133"/>
    <w:qFormat/>
    <w:uiPriority w:val="33"/>
    <w:rPr>
      <w:b/>
      <w:bCs/>
      <w:smallCaps/>
      <w:spacing w:val="5"/>
    </w:rPr>
  </w:style>
  <w:style w:type="paragraph" w:customStyle="1" w:styleId="164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5">
    <w:name w:val="First Paragraph"/>
    <w:basedOn w:val="7"/>
    <w:next w:val="7"/>
    <w:qFormat/>
    <w:uiPriority w:val="0"/>
  </w:style>
  <w:style w:type="paragraph" w:customStyle="1" w:styleId="166">
    <w:name w:val="Compact"/>
    <w:basedOn w:val="7"/>
    <w:qFormat/>
    <w:uiPriority w:val="0"/>
    <w:pPr>
      <w:spacing w:before="36" w:after="36"/>
    </w:pPr>
  </w:style>
  <w:style w:type="table" w:customStyle="1" w:styleId="167">
    <w:name w:val="Table"/>
    <w:semiHidden/>
    <w:unhideWhenUsed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cPr>
        <w:tcBorders>
          <w:bottom w:val="single" w:color="auto" w:sz="0" w:space="0"/>
        </w:tcBorders>
        <w:vAlign w:val="bottom"/>
      </w:tcPr>
    </w:tblStylePr>
  </w:style>
  <w:style w:type="paragraph" w:customStyle="1" w:styleId="168">
    <w:name w:val="Source Code"/>
    <w:basedOn w:val="1"/>
    <w:link w:val="169"/>
    <w:qFormat/>
    <w:uiPriority w:val="0"/>
    <w:pPr>
      <w:wordWrap w:val="0"/>
    </w:pPr>
  </w:style>
  <w:style w:type="character" w:customStyle="1" w:styleId="169">
    <w:name w:val="Verbatim Char"/>
    <w:basedOn w:val="145"/>
    <w:link w:val="16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="http://schemas.openxmlformats.org/officeDocument/2006/bibliography" xmlns:b="http://schemas.openxmlformats.org/officeDocument/2006/bibliography" StyleName="APA" SelectedStyle="/APA.XSL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98</Pages>
  <Words>4457</Words>
  <Characters>6302</Characters>
  <Lines>0</Lines>
  <Paragraphs>0</Paragraphs>
  <TotalTime>15</TotalTime>
  <ScaleCrop>false</ScaleCrop>
  <LinksUpToDate>false</LinksUpToDate>
  <CharactersWithSpaces>7959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python-docx</dc:creator>
  <dc:description>generated by python-docx</dc:description>
  <cp:lastModifiedBy>王腾祺</cp:lastModifiedBy>
  <dcterms:modified xsi:type="dcterms:W3CDTF">2025-11-27T16:24:55Z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06CE1EDFF7BF40878490AC28FACF0BBA_13</vt:lpwstr>
  </property>
  <property fmtid="{D5CDD505-2E9C-101B-9397-08002B2CF9AE}" pid="4" name="KSOTemplateDocerSaveRecord">
    <vt:lpwstr>eyJoZGlkIjoiODg3M2RjMWE3ZWVjY2EzN2VkNTIyYjY3M2Q5NGE0MzMiLCJ1c2VySWQiOiIxNDgwMTQyMTM0In0=</vt:lpwstr>
  </property>
</Properties>
</file>