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954403">
      <w:r>
        <w:rPr>
          <w:b/>
        </w:rPr>
        <w:br w:type="textWrapping"/>
      </w:r>
      <w:r>
        <w:rPr>
          <w:b/>
        </w:rPr>
        <w:br w:type="textWrapping"/>
      </w:r>
      <w:r>
        <w:rPr>
          <w:b/>
        </w:rPr>
        <w:br w:type="textWrapping"/>
      </w:r>
      <w:r>
        <w:rPr>
          <w:b/>
        </w:rPr>
        <w:br w:type="textWrapping"/>
      </w:r>
      <w:r>
        <w:rPr>
          <w:b/>
        </w:rPr>
        <w:br w:type="textWrapping"/>
      </w:r>
      <w:r>
        <w:rPr>
          <w:b/>
        </w:rPr>
        <w:br w:type="textWrapping"/>
      </w:r>
    </w:p>
    <w:p w14:paraId="04059B03">
      <w:pPr>
        <w:jc w:val="center"/>
        <w:rPr>
          <w:rFonts w:ascii="方正小标宋简体" w:hAnsi="方正小标宋简体" w:eastAsia="方正小标宋简体"/>
          <w:sz w:val="40"/>
        </w:rPr>
      </w:pPr>
      <w:r>
        <w:rPr>
          <w:rFonts w:ascii="方正小标宋简体" w:hAnsi="方正小标宋简体" w:eastAsia="方正小标宋简体"/>
          <w:sz w:val="40"/>
        </w:rPr>
        <w:t>巴彦淖尔市医院胃肠外科科研与学科建设十年规划纲要（200</w:t>
      </w:r>
      <w:r>
        <w:rPr>
          <w:rFonts w:hint="eastAsia" w:ascii="方正小标宋简体" w:hAnsi="方正小标宋简体" w:eastAsia="方正小标宋简体"/>
          <w:sz w:val="40"/>
          <w:lang w:val="en-US" w:eastAsia="zh-CN"/>
        </w:rPr>
        <w:t>4</w:t>
      </w:r>
      <w:r>
        <w:rPr>
          <w:rFonts w:ascii="方正小标宋简体" w:hAnsi="方正小标宋简体" w:eastAsia="方正小标宋简体"/>
          <w:sz w:val="40"/>
        </w:rPr>
        <w:t>–2035）</w:t>
      </w:r>
    </w:p>
    <w:p w14:paraId="243211E2">
      <w:pPr>
        <w:jc w:val="center"/>
        <w:rPr>
          <w:rFonts w:hint="eastAsia" w:ascii="华文楷体" w:hAnsi="华文楷体" w:eastAsia="华文楷体" w:cs="华文楷体"/>
          <w:sz w:val="30"/>
          <w:szCs w:val="30"/>
        </w:rPr>
      </w:pPr>
      <w:r>
        <w:rPr>
          <w:rFonts w:hint="eastAsia" w:ascii="华文楷体" w:hAnsi="华文楷体" w:eastAsia="华文楷体" w:cs="华文楷体"/>
          <w:sz w:val="30"/>
          <w:szCs w:val="30"/>
        </w:rPr>
        <w:t>——以医工融合与智能微创为引领的高质量发展蓝图</w:t>
      </w:r>
    </w:p>
    <w:p w14:paraId="449E53FF">
      <w:pPr>
        <w:rPr>
          <w:rFonts w:hint="eastAsia" w:ascii="仿宋" w:hAnsi="仿宋" w:eastAsia="仿宋"/>
          <w:sz w:val="32"/>
          <w:lang w:eastAsia="zh-CN"/>
        </w:rPr>
      </w:pPr>
    </w:p>
    <w:p w14:paraId="16DBA4BE">
      <w:pPr>
        <w:rPr>
          <w:rFonts w:hint="eastAsia" w:ascii="仿宋" w:hAnsi="仿宋" w:eastAsia="仿宋"/>
          <w:sz w:val="32"/>
          <w:lang w:eastAsia="zh-CN"/>
        </w:rPr>
      </w:pPr>
    </w:p>
    <w:p w14:paraId="1B4A4045">
      <w:pPr>
        <w:jc w:val="center"/>
        <w:rPr>
          <w:rFonts w:ascii="仿宋" w:hAnsi="仿宋" w:eastAsia="仿宋"/>
          <w:sz w:val="32"/>
        </w:rPr>
      </w:pPr>
    </w:p>
    <w:p w14:paraId="36A301DD">
      <w:pPr>
        <w:jc w:val="center"/>
        <w:rPr>
          <w:rFonts w:ascii="仿宋" w:hAnsi="仿宋" w:eastAsia="仿宋"/>
          <w:sz w:val="32"/>
        </w:rPr>
      </w:pPr>
    </w:p>
    <w:p w14:paraId="0CF81A7B">
      <w:pPr>
        <w:jc w:val="center"/>
      </w:pPr>
      <w:r>
        <w:rPr>
          <w:rFonts w:ascii="仿宋" w:hAnsi="仿宋" w:eastAsia="仿宋"/>
          <w:sz w:val="32"/>
        </w:rPr>
        <w:t>巴彦淖尔市医院胃肠外科</w:t>
      </w:r>
    </w:p>
    <w:p w14:paraId="28E6403E">
      <w:r>
        <w:br w:type="page"/>
      </w:r>
    </w:p>
    <w:p w14:paraId="47F9C49E">
      <w:pPr>
        <w:pStyle w:val="3"/>
        <w:bidi w:val="0"/>
        <w:rPr>
          <w:sz w:val="32"/>
          <w:szCs w:val="32"/>
        </w:rPr>
      </w:pPr>
      <w:r>
        <w:rPr>
          <w:sz w:val="32"/>
          <w:szCs w:val="32"/>
        </w:rPr>
        <w:t>目录</w:t>
      </w:r>
    </w:p>
    <w:p w14:paraId="6B321230"/>
    <w:p w14:paraId="1696FE76">
      <w:pPr>
        <w:numPr>
          <w:ilvl w:val="0"/>
          <w:numId w:val="0"/>
        </w:numPr>
        <w:rPr>
          <w:sz w:val="24"/>
          <w:szCs w:val="24"/>
        </w:rPr>
      </w:pPr>
      <w:r>
        <w:rPr>
          <w:sz w:val="24"/>
          <w:szCs w:val="24"/>
        </w:rPr>
        <w:t>前言</w:t>
      </w:r>
      <w:r>
        <w:rPr>
          <w:sz w:val="24"/>
          <w:szCs w:val="24"/>
        </w:rPr>
        <w:br w:type="textWrapping"/>
      </w:r>
      <w:r>
        <w:rPr>
          <w:sz w:val="24"/>
          <w:szCs w:val="24"/>
        </w:rPr>
        <w:t>第一章  发展基础与总体成就（2008–2024）</w:t>
      </w:r>
      <w:r>
        <w:rPr>
          <w:sz w:val="24"/>
          <w:szCs w:val="24"/>
        </w:rPr>
        <w:br w:type="textWrapping"/>
      </w:r>
      <w:r>
        <w:rPr>
          <w:sz w:val="24"/>
          <w:szCs w:val="24"/>
        </w:rPr>
        <w:t>第二章  科研体系与学科格局</w:t>
      </w:r>
      <w:r>
        <w:rPr>
          <w:sz w:val="24"/>
          <w:szCs w:val="24"/>
        </w:rPr>
        <w:br w:type="textWrapping"/>
      </w:r>
      <w:r>
        <w:rPr>
          <w:sz w:val="24"/>
          <w:szCs w:val="24"/>
        </w:rPr>
        <w:t>第三章  科研特色与创新成就</w:t>
      </w:r>
      <w:r>
        <w:rPr>
          <w:sz w:val="24"/>
          <w:szCs w:val="24"/>
        </w:rPr>
        <w:br w:type="textWrapping"/>
      </w:r>
      <w:r>
        <w:rPr>
          <w:sz w:val="24"/>
          <w:szCs w:val="24"/>
        </w:rPr>
        <w:t>第四章  学科发展阶段与技术演进</w:t>
      </w:r>
      <w:r>
        <w:rPr>
          <w:sz w:val="24"/>
          <w:szCs w:val="24"/>
        </w:rPr>
        <w:br w:type="textWrapping"/>
      </w:r>
      <w:r>
        <w:rPr>
          <w:sz w:val="24"/>
          <w:szCs w:val="24"/>
        </w:rPr>
        <w:t>第五章  存在问题与挑战分析</w:t>
      </w:r>
      <w:r>
        <w:rPr>
          <w:sz w:val="24"/>
          <w:szCs w:val="24"/>
        </w:rPr>
        <w:br w:type="textWrapping"/>
      </w:r>
      <w:r>
        <w:rPr>
          <w:sz w:val="24"/>
          <w:szCs w:val="24"/>
        </w:rPr>
        <w:t>第六章  未来十年发展目标与重点任务（2025–2035）</w:t>
      </w:r>
      <w:r>
        <w:rPr>
          <w:sz w:val="24"/>
          <w:szCs w:val="24"/>
        </w:rPr>
        <w:br w:type="textWrapping"/>
      </w:r>
      <w:r>
        <w:rPr>
          <w:sz w:val="24"/>
          <w:szCs w:val="24"/>
        </w:rPr>
        <w:t>第七章  实施保障与支撑体系</w:t>
      </w:r>
      <w:r>
        <w:rPr>
          <w:sz w:val="24"/>
          <w:szCs w:val="24"/>
        </w:rPr>
        <w:br w:type="textWrapping"/>
      </w:r>
      <w:r>
        <w:rPr>
          <w:sz w:val="24"/>
          <w:szCs w:val="24"/>
        </w:rPr>
        <w:t>第八章  发展愿景与总结</w:t>
      </w:r>
    </w:p>
    <w:p w14:paraId="01EFFC9F">
      <w:pPr>
        <w:numPr>
          <w:ilvl w:val="0"/>
          <w:numId w:val="0"/>
        </w:numPr>
        <w:rPr>
          <w:rFonts w:hint="eastAsia"/>
          <w:sz w:val="24"/>
          <w:szCs w:val="24"/>
        </w:rPr>
      </w:pPr>
    </w:p>
    <w:p w14:paraId="1070D54A">
      <w:pPr>
        <w:numPr>
          <w:ilvl w:val="0"/>
          <w:numId w:val="0"/>
        </w:numPr>
        <w:rPr>
          <w:rFonts w:hint="eastAsia"/>
          <w:sz w:val="24"/>
          <w:szCs w:val="24"/>
        </w:rPr>
      </w:pPr>
      <w:r>
        <w:rPr>
          <w:rFonts w:hint="eastAsia"/>
          <w:sz w:val="24"/>
          <w:szCs w:val="24"/>
        </w:rPr>
        <w:t>附录一 科研方向制定思路</w:t>
      </w:r>
    </w:p>
    <w:p w14:paraId="03DE7C29">
      <w:pPr>
        <w:numPr>
          <w:ilvl w:val="0"/>
          <w:numId w:val="0"/>
        </w:numPr>
        <w:rPr>
          <w:rFonts w:hint="eastAsia"/>
          <w:sz w:val="24"/>
          <w:szCs w:val="24"/>
        </w:rPr>
      </w:pPr>
      <w:r>
        <w:rPr>
          <w:rFonts w:hint="eastAsia"/>
          <w:sz w:val="24"/>
          <w:szCs w:val="24"/>
        </w:rPr>
        <w:t>附录二 《巴彦淖尔市医院胃肠外科科研与学科建设十年规划纲要（2008–2035）》编制思路</w:t>
      </w:r>
    </w:p>
    <w:p w14:paraId="78D47E13">
      <w:pPr>
        <w:numPr>
          <w:ilvl w:val="0"/>
          <w:numId w:val="0"/>
        </w:numPr>
        <w:rPr>
          <w:sz w:val="24"/>
          <w:szCs w:val="24"/>
        </w:rPr>
      </w:pPr>
      <w:r>
        <w:rPr>
          <w:rFonts w:hint="eastAsia"/>
          <w:sz w:val="24"/>
          <w:szCs w:val="24"/>
        </w:rPr>
        <w:t>附录</w:t>
      </w:r>
      <w:r>
        <w:rPr>
          <w:rFonts w:hint="eastAsia"/>
          <w:sz w:val="24"/>
          <w:szCs w:val="24"/>
          <w:lang w:val="en-US" w:eastAsia="zh-CN"/>
        </w:rPr>
        <w:t>三</w:t>
      </w:r>
      <w:r>
        <w:rPr>
          <w:rFonts w:hint="eastAsia"/>
          <w:sz w:val="24"/>
          <w:szCs w:val="24"/>
        </w:rPr>
        <w:t xml:space="preserve"> 术语解释</w:t>
      </w:r>
    </w:p>
    <w:p w14:paraId="2E534171">
      <w:pPr>
        <w:pStyle w:val="30"/>
        <w:keepNext w:val="0"/>
        <w:keepLines w:val="0"/>
        <w:widowControl/>
        <w:numPr>
          <w:ilvl w:val="0"/>
          <w:numId w:val="7"/>
        </w:numPr>
        <w:suppressLineNumbers w:val="0"/>
        <w:ind w:left="425" w:leftChars="0" w:hanging="425" w:firstLineChars="0"/>
        <w:rPr>
          <w:rFonts w:hint="eastAsia" w:ascii="华文楷体" w:hAnsi="华文楷体" w:eastAsia="华文楷体" w:cs="华文楷体"/>
          <w:color w:val="215968" w:themeColor="accent5" w:themeShade="80"/>
          <w:sz w:val="21"/>
          <w:szCs w:val="21"/>
          <w:lang w:val="en-US" w:eastAsia="zh-CN"/>
        </w:rPr>
      </w:pPr>
      <w:r>
        <w:rPr>
          <w:rFonts w:hint="eastAsia" w:ascii="华文楷体" w:hAnsi="华文楷体" w:eastAsia="华文楷体" w:cs="华文楷体"/>
          <w:color w:val="215968" w:themeColor="accent5" w:themeShade="80"/>
          <w:sz w:val="21"/>
          <w:szCs w:val="21"/>
          <w:lang w:val="en-US" w:eastAsia="zh-CN"/>
        </w:rPr>
        <w:t>“ 1：2-7-21”特色整合诊疗体系（The “1:2-7-21”Distinct Integrated Diagnostic and Treatment System ，DIDTS）</w:t>
      </w:r>
    </w:p>
    <w:p w14:paraId="1A8869B4">
      <w:pPr>
        <w:pStyle w:val="30"/>
        <w:keepNext w:val="0"/>
        <w:keepLines w:val="0"/>
        <w:widowControl/>
        <w:numPr>
          <w:ilvl w:val="0"/>
          <w:numId w:val="7"/>
        </w:numPr>
        <w:suppressLineNumbers w:val="0"/>
        <w:ind w:left="425" w:leftChars="0" w:hanging="425" w:firstLineChars="0"/>
        <w:rPr>
          <w:rFonts w:hint="eastAsia" w:ascii="华文楷体" w:hAnsi="华文楷体" w:eastAsia="华文楷体" w:cs="华文楷体"/>
          <w:color w:val="215968" w:themeColor="accent5" w:themeShade="80"/>
          <w:sz w:val="21"/>
          <w:szCs w:val="21"/>
          <w:lang w:val="en-US" w:eastAsia="zh-CN"/>
        </w:rPr>
      </w:pPr>
      <w:r>
        <w:rPr>
          <w:rFonts w:hint="eastAsia" w:ascii="华文楷体" w:hAnsi="华文楷体" w:eastAsia="华文楷体" w:cs="华文楷体"/>
          <w:color w:val="215968" w:themeColor="accent5" w:themeShade="80"/>
          <w:sz w:val="21"/>
          <w:szCs w:val="21"/>
          <w:lang w:val="en-US" w:eastAsia="zh-CN"/>
        </w:rPr>
        <w:t>内镜下延长透明帽圈套器与氩离子凝固联合技术（Combined Endoscopic Technique Utilizing Extended Transparent Cap,Snare,and Argon Plasma Coagulation,CETC-SAPC)</w:t>
      </w:r>
    </w:p>
    <w:p w14:paraId="1C71C55E">
      <w:pPr>
        <w:pStyle w:val="30"/>
        <w:keepNext w:val="0"/>
        <w:keepLines w:val="0"/>
        <w:widowControl/>
        <w:numPr>
          <w:ilvl w:val="0"/>
          <w:numId w:val="7"/>
        </w:numPr>
        <w:suppressLineNumbers w:val="0"/>
        <w:ind w:left="425" w:leftChars="0" w:hanging="425" w:firstLineChars="0"/>
        <w:rPr>
          <w:rFonts w:hint="eastAsia" w:ascii="华文楷体" w:hAnsi="华文楷体" w:eastAsia="华文楷体" w:cs="华文楷体"/>
          <w:color w:val="215968" w:themeColor="accent5" w:themeShade="80"/>
          <w:sz w:val="21"/>
          <w:szCs w:val="21"/>
        </w:rPr>
      </w:pPr>
      <w:r>
        <w:rPr>
          <w:rFonts w:hint="eastAsia" w:ascii="华文楷体" w:hAnsi="华文楷体" w:eastAsia="华文楷体" w:cs="华文楷体"/>
          <w:color w:val="215968" w:themeColor="accent5" w:themeShade="80"/>
          <w:sz w:val="21"/>
          <w:szCs w:val="21"/>
          <w:lang w:val="en-US" w:eastAsia="zh-CN"/>
        </w:rPr>
        <w:t>智能助力腹腔镜模块化手术平台（Smart Modular Laparoscopic Surgical Platform，SMLSP）</w:t>
      </w:r>
    </w:p>
    <w:p w14:paraId="58D9211F">
      <w:pPr>
        <w:pStyle w:val="30"/>
        <w:keepNext w:val="0"/>
        <w:keepLines w:val="0"/>
        <w:widowControl/>
        <w:numPr>
          <w:ilvl w:val="0"/>
          <w:numId w:val="7"/>
        </w:numPr>
        <w:suppressLineNumbers w:val="0"/>
        <w:ind w:left="425" w:leftChars="0" w:hanging="425" w:firstLineChars="0"/>
        <w:rPr>
          <w:rFonts w:hint="eastAsia" w:ascii="华文楷体" w:hAnsi="华文楷体" w:eastAsia="华文楷体" w:cs="华文楷体"/>
          <w:color w:val="215968" w:themeColor="accent5" w:themeShade="80"/>
          <w:sz w:val="21"/>
          <w:szCs w:val="21"/>
        </w:rPr>
      </w:pPr>
      <w:r>
        <w:rPr>
          <w:rFonts w:hint="eastAsia" w:ascii="华文楷体" w:hAnsi="华文楷体" w:eastAsia="华文楷体" w:cs="华文楷体"/>
          <w:color w:val="215968" w:themeColor="accent5" w:themeShade="80"/>
          <w:sz w:val="21"/>
          <w:szCs w:val="21"/>
        </w:rPr>
        <w:t>学科投入-产出再生模型（Discipline Input-Output Regeneration Model</w:t>
      </w:r>
      <w:r>
        <w:rPr>
          <w:rFonts w:hint="eastAsia" w:ascii="华文楷体" w:hAnsi="华文楷体" w:eastAsia="华文楷体" w:cs="华文楷体"/>
          <w:color w:val="215968" w:themeColor="accent5" w:themeShade="80"/>
          <w:sz w:val="21"/>
          <w:szCs w:val="21"/>
          <w:lang w:eastAsia="zh-CN"/>
        </w:rPr>
        <w:t>，</w:t>
      </w:r>
      <w:r>
        <w:rPr>
          <w:rFonts w:hint="eastAsia" w:ascii="华文楷体" w:hAnsi="华文楷体" w:eastAsia="华文楷体" w:cs="华文楷体"/>
          <w:color w:val="215968" w:themeColor="accent5" w:themeShade="80"/>
          <w:sz w:val="21"/>
          <w:szCs w:val="21"/>
          <w:lang w:val="en-US" w:eastAsia="zh-CN"/>
        </w:rPr>
        <w:t>DIO</w:t>
      </w:r>
      <w:r>
        <w:rPr>
          <w:rFonts w:hint="eastAsia" w:ascii="华文楷体" w:hAnsi="华文楷体" w:eastAsia="华文楷体" w:cs="华文楷体"/>
          <w:color w:val="215968" w:themeColor="accent5" w:themeShade="80"/>
          <w:sz w:val="21"/>
          <w:szCs w:val="21"/>
        </w:rPr>
        <w:t>）</w:t>
      </w:r>
    </w:p>
    <w:p w14:paraId="507A1799">
      <w:pPr>
        <w:pStyle w:val="30"/>
        <w:keepNext w:val="0"/>
        <w:keepLines w:val="0"/>
        <w:widowControl/>
        <w:numPr>
          <w:ilvl w:val="0"/>
          <w:numId w:val="7"/>
        </w:numPr>
        <w:suppressLineNumbers w:val="0"/>
        <w:ind w:left="425" w:leftChars="0" w:hanging="425" w:firstLineChars="0"/>
        <w:rPr>
          <w:rFonts w:hint="eastAsia" w:ascii="华文楷体" w:hAnsi="华文楷体" w:eastAsia="华文楷体" w:cs="华文楷体"/>
          <w:color w:val="215968" w:themeColor="accent5" w:themeShade="80"/>
          <w:sz w:val="21"/>
          <w:szCs w:val="21"/>
        </w:rPr>
      </w:pPr>
      <w:r>
        <w:rPr>
          <w:rFonts w:hint="eastAsia" w:ascii="华文楷体" w:hAnsi="华文楷体" w:eastAsia="华文楷体" w:cs="华文楷体"/>
          <w:color w:val="215968" w:themeColor="accent5" w:themeShade="80"/>
          <w:sz w:val="21"/>
          <w:szCs w:val="21"/>
        </w:rPr>
        <w:t>术后康复指数（Postoperative Recovery Index, PRI）</w:t>
      </w:r>
    </w:p>
    <w:p w14:paraId="330AB3ED">
      <w:pPr>
        <w:pStyle w:val="30"/>
        <w:keepNext w:val="0"/>
        <w:keepLines w:val="0"/>
        <w:widowControl/>
        <w:numPr>
          <w:ilvl w:val="0"/>
          <w:numId w:val="7"/>
        </w:numPr>
        <w:suppressLineNumbers w:val="0"/>
        <w:ind w:left="425" w:leftChars="0" w:hanging="425" w:firstLineChars="0"/>
        <w:rPr>
          <w:rFonts w:hint="eastAsia" w:ascii="华文楷体" w:hAnsi="华文楷体" w:eastAsia="华文楷体" w:cs="华文楷体"/>
          <w:color w:val="215968" w:themeColor="accent5" w:themeShade="80"/>
          <w:sz w:val="21"/>
          <w:szCs w:val="21"/>
        </w:rPr>
      </w:pPr>
      <w:r>
        <w:rPr>
          <w:rFonts w:hint="eastAsia" w:ascii="华文楷体" w:hAnsi="华文楷体" w:eastAsia="华文楷体" w:cs="华文楷体"/>
          <w:color w:val="215968" w:themeColor="accent5" w:themeShade="80"/>
          <w:sz w:val="21"/>
          <w:szCs w:val="21"/>
        </w:rPr>
        <w:t>麻醉恢复指数（PARI, Postanesthesia Recovery Index）</w:t>
      </w:r>
    </w:p>
    <w:p w14:paraId="085CA2A8">
      <w:pPr>
        <w:pStyle w:val="30"/>
        <w:keepNext w:val="0"/>
        <w:keepLines w:val="0"/>
        <w:widowControl/>
        <w:numPr>
          <w:ilvl w:val="0"/>
          <w:numId w:val="7"/>
        </w:numPr>
        <w:suppressLineNumbers w:val="0"/>
        <w:ind w:left="425" w:leftChars="0" w:hanging="425" w:firstLineChars="0"/>
        <w:rPr>
          <w:rFonts w:hint="eastAsia" w:ascii="华文楷体" w:hAnsi="华文楷体" w:eastAsia="华文楷体" w:cs="华文楷体"/>
          <w:color w:val="215968" w:themeColor="accent5" w:themeShade="80"/>
          <w:sz w:val="21"/>
          <w:szCs w:val="21"/>
          <w:lang w:val="en-US" w:eastAsia="zh-CN"/>
        </w:rPr>
      </w:pPr>
      <w:r>
        <w:rPr>
          <w:rFonts w:hint="eastAsia" w:ascii="华文楷体" w:hAnsi="华文楷体" w:eastAsia="华文楷体" w:cs="华文楷体"/>
          <w:color w:val="215968" w:themeColor="accent5" w:themeShade="80"/>
          <w:sz w:val="21"/>
          <w:szCs w:val="21"/>
        </w:rPr>
        <w:t>术后风险警戒六级系统（Postoperative Risk Alert—6 Levels，PoRA-6）</w:t>
      </w:r>
    </w:p>
    <w:p w14:paraId="1233BD17">
      <w:pPr>
        <w:pStyle w:val="30"/>
        <w:keepNext w:val="0"/>
        <w:keepLines w:val="0"/>
        <w:widowControl/>
        <w:numPr>
          <w:ilvl w:val="0"/>
          <w:numId w:val="7"/>
        </w:numPr>
        <w:suppressLineNumbers w:val="0"/>
        <w:ind w:left="425" w:leftChars="0" w:hanging="425" w:firstLineChars="0"/>
        <w:rPr>
          <w:rFonts w:hint="eastAsia" w:ascii="华文楷体" w:hAnsi="华文楷体" w:eastAsia="华文楷体" w:cs="华文楷体"/>
          <w:color w:val="215968" w:themeColor="accent5" w:themeShade="80"/>
          <w:sz w:val="21"/>
          <w:szCs w:val="21"/>
          <w:lang w:val="en-US" w:eastAsia="zh-CN"/>
        </w:rPr>
      </w:pPr>
      <w:r>
        <w:rPr>
          <w:rFonts w:hint="eastAsia" w:ascii="华文楷体" w:hAnsi="华文楷体" w:eastAsia="华文楷体" w:cs="华文楷体"/>
          <w:color w:val="215968" w:themeColor="accent5" w:themeShade="80"/>
          <w:sz w:val="21"/>
          <w:szCs w:val="21"/>
          <w:lang w:val="en-US" w:eastAsia="zh-CN"/>
        </w:rPr>
        <w:t>标准化预适应加速康复外科（Standardized Prehabilitation for Enhanced Recovery After Surgery ，SPC-ERAS）</w:t>
      </w:r>
    </w:p>
    <w:p w14:paraId="716D9F08">
      <w:pPr>
        <w:pStyle w:val="30"/>
        <w:keepNext w:val="0"/>
        <w:keepLines w:val="0"/>
        <w:widowControl/>
        <w:numPr>
          <w:ilvl w:val="0"/>
          <w:numId w:val="7"/>
        </w:numPr>
        <w:suppressLineNumbers w:val="0"/>
        <w:ind w:left="425" w:leftChars="0" w:hanging="425" w:firstLineChars="0"/>
        <w:rPr>
          <w:rFonts w:hint="eastAsia" w:ascii="华文楷体" w:hAnsi="华文楷体" w:eastAsia="华文楷体" w:cs="华文楷体"/>
          <w:color w:val="215968" w:themeColor="accent5" w:themeShade="80"/>
          <w:sz w:val="24"/>
          <w:szCs w:val="24"/>
        </w:rPr>
        <w:sectPr>
          <w:headerReference r:id="rId5" w:type="default"/>
          <w:footerReference r:id="rId6" w:type="default"/>
          <w:pgSz w:w="12240" w:h="15840"/>
          <w:pgMar w:top="1440" w:right="1800" w:bottom="1440" w:left="1800" w:header="720" w:footer="720" w:gutter="0"/>
          <w:pgNumType w:fmt="decimal" w:start="1"/>
          <w:cols w:space="720" w:num="1"/>
          <w:docGrid w:linePitch="360" w:charSpace="0"/>
        </w:sectPr>
      </w:pPr>
    </w:p>
    <w:p w14:paraId="7E5E1122">
      <w:pPr>
        <w:pStyle w:val="4"/>
        <w:bidi w:val="0"/>
      </w:pPr>
      <w:r>
        <w:br w:type="textWrapping"/>
      </w:r>
      <w:r>
        <w:t>前言</w:t>
      </w:r>
    </w:p>
    <w:p w14:paraId="13D21800">
      <w:pPr>
        <w:pStyle w:val="30"/>
        <w:keepNext w:val="0"/>
        <w:keepLines w:val="0"/>
        <w:widowControl/>
        <w:suppressLineNumbers w:val="0"/>
        <w:ind w:firstLine="480" w:firstLineChars="200"/>
        <w:rPr>
          <w:rFonts w:hint="eastAsia" w:ascii="仿宋" w:hAnsi="仿宋" w:eastAsia="仿宋" w:cs="仿宋"/>
          <w:sz w:val="24"/>
          <w:szCs w:val="24"/>
        </w:rPr>
      </w:pPr>
      <w:r>
        <w:rPr>
          <w:rFonts w:hint="eastAsia" w:ascii="仿宋" w:hAnsi="仿宋" w:eastAsia="仿宋" w:cs="仿宋"/>
          <w:sz w:val="24"/>
          <w:szCs w:val="24"/>
        </w:rPr>
        <w:t>巴彦淖尔市医院胃肠外科自2004年在肿瘤外科领域起步以来，特别是自2008年率先在自治区开展腹腔镜胃肠道肿瘤根治术以来，学科实现了由开放手术向微创手术的跨越式发展。2017年进入内镜诊疗领域，2024年全面介入医工交叉重点研发方向</w:t>
      </w:r>
      <w:r>
        <w:rPr>
          <w:rFonts w:hint="eastAsia" w:cs="仿宋"/>
          <w:sz w:val="24"/>
          <w:szCs w:val="24"/>
          <w:lang w:eastAsia="zh-CN"/>
        </w:rPr>
        <w:t>。</w:t>
      </w:r>
      <w:r>
        <w:rPr>
          <w:rFonts w:hint="eastAsia" w:ascii="仿宋" w:hAnsi="仿宋" w:eastAsia="仿宋" w:cs="仿宋"/>
          <w:sz w:val="24"/>
          <w:szCs w:val="24"/>
        </w:rPr>
        <w:t>历经二十余年持续积累与系统创新，学科结构与科研体系不断完善。</w:t>
      </w:r>
    </w:p>
    <w:p w14:paraId="6333E6CC">
      <w:pPr>
        <w:pStyle w:val="30"/>
        <w:keepNext w:val="0"/>
        <w:keepLines w:val="0"/>
        <w:widowControl/>
        <w:suppressLineNumbers w:val="0"/>
        <w:ind w:firstLine="480" w:firstLineChars="200"/>
        <w:rPr>
          <w:rFonts w:hint="eastAsia" w:ascii="仿宋" w:hAnsi="仿宋" w:eastAsia="仿宋" w:cs="仿宋"/>
          <w:sz w:val="24"/>
          <w:szCs w:val="24"/>
        </w:rPr>
      </w:pPr>
      <w:r>
        <w:rPr>
          <w:rFonts w:hint="eastAsia" w:ascii="仿宋" w:hAnsi="仿宋" w:eastAsia="仿宋" w:cs="仿宋"/>
          <w:sz w:val="24"/>
          <w:szCs w:val="24"/>
        </w:rPr>
        <w:t>至2025年，科室全面迈入研究型转型阶段，初步形成了以“微创精准、医工融合、智能创新”为主线的科研与学科建设格局。</w:t>
      </w:r>
    </w:p>
    <w:p w14:paraId="5B6618FD">
      <w:pPr>
        <w:pStyle w:val="30"/>
        <w:keepNext w:val="0"/>
        <w:keepLines w:val="0"/>
        <w:widowControl/>
        <w:suppressLineNumbers w:val="0"/>
        <w:ind w:firstLine="480" w:firstLineChars="200"/>
        <w:rPr>
          <w:rFonts w:hint="eastAsia" w:ascii="仿宋" w:hAnsi="仿宋" w:eastAsia="仿宋" w:cs="仿宋"/>
        </w:rPr>
      </w:pPr>
      <w:r>
        <w:rPr>
          <w:rFonts w:hint="eastAsia" w:ascii="仿宋" w:hAnsi="仿宋" w:eastAsia="仿宋" w:cs="仿宋"/>
          <w:sz w:val="24"/>
          <w:szCs w:val="24"/>
        </w:rPr>
        <w:t>本纲要旨在系统总结2004—2024年阶段性成果，科学规划2025—2035年发展蓝图，进一步推动胃肠外科在临床、科研、教学与成果转化四个维度的协同进步，为自治区医学高质量发展及“区域医工融合创新中心”建设提供坚实的学科支撑。</w:t>
      </w:r>
    </w:p>
    <w:p w14:paraId="27CEFE4A">
      <w:pPr>
        <w:pStyle w:val="4"/>
        <w:keepNext w:val="0"/>
        <w:keepLines w:val="0"/>
        <w:widowControl/>
        <w:suppressLineNumbers w:val="0"/>
        <w:rPr>
          <w:rFonts w:hint="eastAsia" w:ascii="黑体" w:hAnsi="黑体" w:eastAsia="黑体" w:cs="黑体"/>
        </w:rPr>
      </w:pPr>
      <w:r>
        <w:rPr>
          <w:rStyle w:val="134"/>
          <w:rFonts w:hint="eastAsia" w:ascii="黑体" w:hAnsi="黑体" w:eastAsia="黑体" w:cs="黑体"/>
          <w:b/>
          <w:bCs/>
        </w:rPr>
        <w:t>第一章 发展基础与总体成就（200</w:t>
      </w:r>
      <w:r>
        <w:rPr>
          <w:rStyle w:val="134"/>
          <w:rFonts w:hint="eastAsia" w:ascii="黑体" w:hAnsi="黑体" w:eastAsia="黑体" w:cs="黑体"/>
          <w:b/>
          <w:bCs/>
          <w:lang w:val="en-US" w:eastAsia="zh-CN"/>
        </w:rPr>
        <w:t>4</w:t>
      </w:r>
      <w:r>
        <w:rPr>
          <w:rStyle w:val="134"/>
          <w:rFonts w:hint="eastAsia" w:ascii="黑体" w:hAnsi="黑体" w:eastAsia="黑体" w:cs="黑体"/>
          <w:b/>
          <w:bCs/>
        </w:rPr>
        <w:t>–2024）</w:t>
      </w:r>
    </w:p>
    <w:p w14:paraId="0C55C057">
      <w:pPr>
        <w:pStyle w:val="5"/>
        <w:keepNext w:val="0"/>
        <w:keepLines w:val="0"/>
        <w:widowControl/>
        <w:suppressLineNumbers w:val="0"/>
      </w:pPr>
      <w:r>
        <w:t>一、学科定位</w:t>
      </w:r>
    </w:p>
    <w:p w14:paraId="49799C95">
      <w:pPr>
        <w:pStyle w:val="30"/>
        <w:keepNext w:val="0"/>
        <w:keepLines w:val="0"/>
        <w:widowControl/>
        <w:suppressLineNumbers w:val="0"/>
        <w:ind w:firstLine="480" w:firstLineChars="200"/>
      </w:pPr>
      <w:r>
        <w:t>胃肠外科是国家临床重点专科（肿瘤科）牵头科室，自治区、市级临床重点专科，自治区医疗卫生重点学科。学科发展定位为“以微创外科为核心、以医工融合为驱动、以转化医学为目标”的综合创新型平台。</w:t>
      </w:r>
    </w:p>
    <w:p w14:paraId="7FEB2000">
      <w:pPr>
        <w:pStyle w:val="5"/>
        <w:keepNext w:val="0"/>
        <w:keepLines w:val="0"/>
        <w:widowControl/>
        <w:suppressLineNumbers w:val="0"/>
      </w:pPr>
      <w:r>
        <w:t>二、总体成就</w:t>
      </w:r>
    </w:p>
    <w:p w14:paraId="79E916F4">
      <w:pPr>
        <w:pStyle w:val="30"/>
        <w:keepNext w:val="0"/>
        <w:keepLines w:val="0"/>
        <w:widowControl/>
        <w:numPr>
          <w:ilvl w:val="0"/>
          <w:numId w:val="8"/>
        </w:numPr>
        <w:suppressLineNumbers w:val="0"/>
        <w:ind w:left="425" w:leftChars="0" w:hanging="425" w:firstLineChars="0"/>
      </w:pPr>
      <w:r>
        <w:t>科研项目层级完备：科室主持或参与国家级、自治区级、市级及联合科研课题共32项，形成了从国家到地方各级科研项目齐备的立体课题体系。</w:t>
      </w:r>
    </w:p>
    <w:p w14:paraId="5C0574A1">
      <w:pPr>
        <w:pStyle w:val="30"/>
        <w:keepNext w:val="0"/>
        <w:keepLines w:val="0"/>
        <w:widowControl/>
        <w:numPr>
          <w:ilvl w:val="0"/>
          <w:numId w:val="8"/>
        </w:numPr>
        <w:suppressLineNumbers w:val="0"/>
        <w:ind w:left="425" w:leftChars="0" w:hanging="425" w:firstLineChars="0"/>
      </w:pPr>
      <w:r>
        <w:t>成果产出显著：累计发表论文71篇（其中SCI收录14篇，单篇最高影响因子11.6），获自治区科技进步二等奖1项、厅市级科技奖5项，科研产出在自治区处于领先水平。</w:t>
      </w:r>
    </w:p>
    <w:p w14:paraId="1D244E9D">
      <w:pPr>
        <w:pStyle w:val="30"/>
        <w:keepNext w:val="0"/>
        <w:keepLines w:val="0"/>
        <w:widowControl/>
        <w:numPr>
          <w:ilvl w:val="0"/>
          <w:numId w:val="8"/>
        </w:numPr>
        <w:suppressLineNumbers w:val="0"/>
        <w:ind w:left="425" w:leftChars="0" w:hanging="425" w:firstLineChars="0"/>
      </w:pPr>
      <w:r>
        <w:t>技术创新引领：</w:t>
      </w:r>
      <w:r>
        <w:rPr>
          <w:rFonts w:hint="eastAsia"/>
          <w:lang w:val="en-US" w:eastAsia="zh-CN"/>
        </w:rPr>
        <w:t>开展新技术110余项。</w:t>
      </w:r>
      <w:r>
        <w:t>率先构建自治区首个高效、安全的胃肠道肿瘤微创手术与加速康复外科（ERAS）流程体系，多项微创诊疗技术填补区域空白。</w:t>
      </w:r>
    </w:p>
    <w:p w14:paraId="34B4A914">
      <w:pPr>
        <w:pStyle w:val="30"/>
        <w:keepNext w:val="0"/>
        <w:keepLines w:val="0"/>
        <w:widowControl/>
        <w:numPr>
          <w:ilvl w:val="0"/>
          <w:numId w:val="8"/>
        </w:numPr>
        <w:suppressLineNumbers w:val="0"/>
        <w:ind w:left="425" w:leftChars="0" w:hanging="425" w:firstLineChars="0"/>
      </w:pPr>
      <w:r>
        <w:t>人才与平台建设：建立国家级普通外科内镜培训基地，以及博士科研工作站、院士专家工作站各1个，高层次人才培养和科研平台建设成果突出。</w:t>
      </w:r>
    </w:p>
    <w:p w14:paraId="5EAFC845">
      <w:pPr>
        <w:pStyle w:val="30"/>
        <w:keepNext w:val="0"/>
        <w:keepLines w:val="0"/>
        <w:widowControl/>
        <w:numPr>
          <w:ilvl w:val="0"/>
          <w:numId w:val="8"/>
        </w:numPr>
        <w:suppressLineNumbers w:val="0"/>
        <w:ind w:left="425" w:leftChars="0" w:hanging="425" w:firstLineChars="0"/>
      </w:pPr>
      <w:r>
        <w:t>专利与转化基础：已获授权发明专利及实用新型专利6项，形成了“临床术式—创新装置”协同的创新链条，为后续科研成果转化奠定坚实基础。</w:t>
      </w:r>
    </w:p>
    <w:p w14:paraId="73C7AAB9">
      <w:pPr>
        <w:pStyle w:val="4"/>
        <w:keepNext w:val="0"/>
        <w:keepLines w:val="0"/>
        <w:widowControl/>
        <w:suppressLineNumbers w:val="0"/>
      </w:pPr>
      <w:r>
        <w:rPr>
          <w:rStyle w:val="134"/>
          <w:b/>
          <w:bCs/>
        </w:rPr>
        <w:t>第二章 科研体系与学科格局</w:t>
      </w:r>
    </w:p>
    <w:p w14:paraId="22604ABF">
      <w:pPr>
        <w:pStyle w:val="5"/>
        <w:keepNext w:val="0"/>
        <w:keepLines w:val="0"/>
        <w:widowControl/>
        <w:suppressLineNumbers w:val="0"/>
      </w:pPr>
      <w:r>
        <w:t>一、科研体系</w:t>
      </w:r>
    </w:p>
    <w:p w14:paraId="5630E0AF">
      <w:pPr>
        <w:pStyle w:val="30"/>
        <w:keepNext w:val="0"/>
        <w:keepLines w:val="0"/>
        <w:widowControl/>
        <w:suppressLineNumbers w:val="0"/>
        <w:ind w:firstLine="480" w:firstLineChars="200"/>
      </w:pPr>
      <w:r>
        <w:t>形成了“</w:t>
      </w:r>
      <w:r>
        <w:rPr>
          <w:rStyle w:val="134"/>
        </w:rPr>
        <w:t>基础研究—工程研发—临床应用—成果转化</w:t>
      </w:r>
      <w:r>
        <w:t>”四级递进体系。</w:t>
      </w:r>
    </w:p>
    <w:p w14:paraId="524445F4">
      <w:pPr>
        <w:pStyle w:val="30"/>
        <w:keepNext w:val="0"/>
        <w:keepLines w:val="0"/>
        <w:widowControl/>
        <w:numPr>
          <w:ilvl w:val="0"/>
          <w:numId w:val="9"/>
        </w:numPr>
        <w:suppressLineNumbers w:val="0"/>
        <w:ind w:left="420" w:leftChars="0" w:hanging="420" w:firstLineChars="0"/>
      </w:pPr>
      <w:r>
        <w:rPr>
          <w:rStyle w:val="134"/>
        </w:rPr>
        <w:t>基础研究层面</w:t>
      </w:r>
      <w:r>
        <w:t>：聚焦胃肠肿瘤免疫微环境、铁死亡机制、微生态干预。</w:t>
      </w:r>
    </w:p>
    <w:p w14:paraId="2D5A3FA5">
      <w:pPr>
        <w:pStyle w:val="30"/>
        <w:keepNext w:val="0"/>
        <w:keepLines w:val="0"/>
        <w:widowControl/>
        <w:numPr>
          <w:ilvl w:val="0"/>
          <w:numId w:val="9"/>
        </w:numPr>
        <w:suppressLineNumbers w:val="0"/>
        <w:ind w:left="420" w:leftChars="0" w:hanging="420" w:firstLineChars="0"/>
      </w:pPr>
      <w:r>
        <w:rPr>
          <w:rStyle w:val="134"/>
        </w:rPr>
        <w:t>工程研发层面</w:t>
      </w:r>
      <w:r>
        <w:t>：布局腹腔镜手控机械臂、</w:t>
      </w:r>
      <w:r>
        <w:rPr>
          <w:rFonts w:hint="eastAsia"/>
          <w:lang w:val="en-US" w:eastAsia="zh-CN"/>
        </w:rPr>
        <w:t>内镜CETC</w:t>
      </w:r>
      <w:r>
        <w:t>。</w:t>
      </w:r>
    </w:p>
    <w:p w14:paraId="3125284E">
      <w:pPr>
        <w:pStyle w:val="30"/>
        <w:keepNext w:val="0"/>
        <w:keepLines w:val="0"/>
        <w:widowControl/>
        <w:numPr>
          <w:ilvl w:val="0"/>
          <w:numId w:val="9"/>
        </w:numPr>
        <w:suppressLineNumbers w:val="0"/>
        <w:ind w:left="420" w:leftChars="0" w:hanging="420" w:firstLineChars="0"/>
      </w:pPr>
      <w:r>
        <w:rPr>
          <w:rStyle w:val="134"/>
        </w:rPr>
        <w:t>临床应用层面</w:t>
      </w:r>
      <w:r>
        <w:t>：聚焦</w:t>
      </w:r>
      <w:r>
        <w:rPr>
          <w:rFonts w:hint="eastAsia"/>
          <w:lang w:val="en-US" w:eastAsia="zh-CN"/>
        </w:rPr>
        <w:t>DIDTS，尤其</w:t>
      </w:r>
      <w:r>
        <w:t>“7镜技术”、SPC-ERAS体系与多镜融合标准化路径。</w:t>
      </w:r>
    </w:p>
    <w:p w14:paraId="6E4206D5">
      <w:pPr>
        <w:pStyle w:val="30"/>
        <w:keepNext w:val="0"/>
        <w:keepLines w:val="0"/>
        <w:widowControl/>
        <w:numPr>
          <w:ilvl w:val="0"/>
          <w:numId w:val="9"/>
        </w:numPr>
        <w:suppressLineNumbers w:val="0"/>
        <w:ind w:left="420" w:leftChars="0" w:hanging="420" w:firstLineChars="0"/>
      </w:pPr>
      <w:r>
        <w:rPr>
          <w:rStyle w:val="134"/>
        </w:rPr>
        <w:t>成果转化层面</w:t>
      </w:r>
      <w:r>
        <w:t>：形成专利群体化布局，推动内镜装置与术式一体化注册进程。</w:t>
      </w:r>
    </w:p>
    <w:p w14:paraId="27305C3C">
      <w:pPr>
        <w:pStyle w:val="5"/>
        <w:keepNext w:val="0"/>
        <w:keepLines w:val="0"/>
        <w:widowControl/>
        <w:suppressLineNumbers w:val="0"/>
      </w:pPr>
      <w:r>
        <w:t>二、学科梯队</w:t>
      </w:r>
    </w:p>
    <w:p w14:paraId="181A54FA">
      <w:pPr>
        <w:pStyle w:val="30"/>
        <w:keepNext w:val="0"/>
        <w:keepLines w:val="0"/>
        <w:widowControl/>
        <w:suppressLineNumbers w:val="0"/>
        <w:ind w:firstLine="480" w:firstLineChars="200"/>
      </w:pPr>
      <w:r>
        <w:t>科室现有二级教授1人，主任医师</w:t>
      </w:r>
      <w:r>
        <w:rPr>
          <w:rFonts w:hint="eastAsia"/>
          <w:lang w:val="en-US" w:eastAsia="zh-CN"/>
        </w:rPr>
        <w:t>4</w:t>
      </w:r>
      <w:r>
        <w:t>人，副主任医师</w:t>
      </w:r>
      <w:r>
        <w:rPr>
          <w:rFonts w:hint="eastAsia"/>
          <w:lang w:val="en-US" w:eastAsia="zh-CN"/>
        </w:rPr>
        <w:t>3</w:t>
      </w:r>
      <w:r>
        <w:t>人；博士</w:t>
      </w:r>
      <w:r>
        <w:rPr>
          <w:rFonts w:hint="eastAsia"/>
          <w:lang w:val="en-US" w:eastAsia="zh-CN"/>
        </w:rPr>
        <w:t>研究生导师1人</w:t>
      </w:r>
      <w:r>
        <w:t>、硕士研究生导师</w:t>
      </w:r>
      <w:r>
        <w:rPr>
          <w:rFonts w:hint="eastAsia"/>
          <w:lang w:val="en-US" w:eastAsia="zh-CN"/>
        </w:rPr>
        <w:t>2</w:t>
      </w:r>
      <w:r>
        <w:t>人。已形成</w:t>
      </w:r>
      <w:r>
        <w:rPr>
          <w:rStyle w:val="134"/>
        </w:rPr>
        <w:t>以临床专家为核心、青年骨干为主体、工程师与研究生协同</w:t>
      </w:r>
      <w:r>
        <w:t>的创新梯队。</w:t>
      </w:r>
    </w:p>
    <w:p w14:paraId="75260DED">
      <w:pPr>
        <w:pStyle w:val="4"/>
        <w:keepNext w:val="0"/>
        <w:keepLines w:val="0"/>
        <w:widowControl/>
        <w:suppressLineNumbers w:val="0"/>
      </w:pPr>
      <w:r>
        <w:rPr>
          <w:rStyle w:val="134"/>
          <w:b/>
          <w:bCs/>
        </w:rPr>
        <w:t>第三章 科研特色与创新成就</w:t>
      </w:r>
    </w:p>
    <w:p w14:paraId="228D5A48">
      <w:pPr>
        <w:pStyle w:val="30"/>
        <w:keepNext w:val="0"/>
        <w:keepLines w:val="0"/>
        <w:widowControl/>
        <w:numPr>
          <w:ilvl w:val="0"/>
          <w:numId w:val="10"/>
        </w:numPr>
        <w:suppressLineNumbers w:val="0"/>
        <w:ind w:left="425" w:leftChars="0" w:hanging="425" w:firstLineChars="0"/>
      </w:pPr>
      <w:r>
        <w:rPr>
          <w:rStyle w:val="134"/>
        </w:rPr>
        <w:t>原创术式体系</w:t>
      </w:r>
      <w:r>
        <w:t>：提出并推广“</w:t>
      </w:r>
      <w:r>
        <w:rPr>
          <w:rFonts w:hint="eastAsia"/>
          <w:lang w:val="en-US" w:eastAsia="zh-CN"/>
        </w:rPr>
        <w:t>单通道</w:t>
      </w:r>
      <w:r>
        <w:t>空肠间置术”、“7镜协同微创体系”、“SPC-ERAS标准化路径”。</w:t>
      </w:r>
    </w:p>
    <w:p w14:paraId="23506951">
      <w:pPr>
        <w:pStyle w:val="30"/>
        <w:keepNext w:val="0"/>
        <w:keepLines w:val="0"/>
        <w:widowControl/>
        <w:numPr>
          <w:ilvl w:val="0"/>
          <w:numId w:val="10"/>
        </w:numPr>
        <w:suppressLineNumbers w:val="0"/>
        <w:ind w:left="425" w:leftChars="0" w:hanging="425" w:firstLineChars="0"/>
      </w:pPr>
      <w:r>
        <w:rPr>
          <w:rStyle w:val="134"/>
        </w:rPr>
        <w:t>技术创新成果</w:t>
      </w:r>
      <w:r>
        <w:t>：</w:t>
      </w:r>
    </w:p>
    <w:p w14:paraId="6A5C71BE">
      <w:pPr>
        <w:pStyle w:val="30"/>
        <w:keepNext w:val="0"/>
        <w:keepLines w:val="0"/>
        <w:widowControl/>
        <w:numPr>
          <w:ilvl w:val="0"/>
          <w:numId w:val="11"/>
        </w:numPr>
        <w:suppressLineNumbers w:val="0"/>
        <w:ind w:left="420" w:leftChars="0" w:hanging="420" w:firstLineChars="0"/>
      </w:pPr>
      <w:r>
        <w:rPr>
          <w:rStyle w:val="134"/>
        </w:rPr>
        <w:t>CETC</w:t>
      </w:r>
      <w:r>
        <w:rPr>
          <w:rStyle w:val="134"/>
          <w:rFonts w:hint="eastAsia"/>
          <w:lang w:val="en-US" w:eastAsia="zh-CN"/>
        </w:rPr>
        <w:t>-SAPC</w:t>
      </w:r>
      <w:r>
        <w:rPr>
          <w:rStyle w:val="134"/>
        </w:rPr>
        <w:t>术式</w:t>
      </w:r>
      <w:r>
        <w:t>：内镜下延长透明帽圈套器与氩离子联合切除技术；</w:t>
      </w:r>
    </w:p>
    <w:p w14:paraId="7438CB80">
      <w:pPr>
        <w:pStyle w:val="30"/>
        <w:keepNext w:val="0"/>
        <w:keepLines w:val="0"/>
        <w:widowControl/>
        <w:numPr>
          <w:ilvl w:val="0"/>
          <w:numId w:val="11"/>
        </w:numPr>
        <w:suppressLineNumbers w:val="0"/>
        <w:ind w:left="420" w:leftChars="0" w:hanging="420" w:firstLineChars="0"/>
      </w:pPr>
      <w:r>
        <w:rPr>
          <w:rStyle w:val="134"/>
        </w:rPr>
        <w:t>SMLSP系统</w:t>
      </w:r>
      <w:r>
        <w:t>：手控机械臂式腹腔镜手术平台</w:t>
      </w:r>
      <w:r>
        <w:rPr>
          <w:rFonts w:hint="eastAsia"/>
          <w:lang w:eastAsia="zh-CN"/>
        </w:rPr>
        <w:t>，</w:t>
      </w:r>
      <w:r>
        <w:rPr>
          <w:rFonts w:hint="eastAsia"/>
          <w:lang w:val="en-US" w:eastAsia="zh-CN"/>
        </w:rPr>
        <w:t>开启重点研发之旅</w:t>
      </w:r>
      <w:r>
        <w:t>；</w:t>
      </w:r>
    </w:p>
    <w:p w14:paraId="4DCEFCCF">
      <w:pPr>
        <w:pStyle w:val="30"/>
        <w:keepNext w:val="0"/>
        <w:keepLines w:val="0"/>
        <w:widowControl/>
        <w:numPr>
          <w:ilvl w:val="0"/>
          <w:numId w:val="10"/>
        </w:numPr>
        <w:suppressLineNumbers w:val="0"/>
        <w:ind w:left="425" w:leftChars="0" w:hanging="425" w:firstLineChars="0"/>
      </w:pPr>
      <w:r>
        <w:rPr>
          <w:rStyle w:val="134"/>
        </w:rPr>
        <w:t>平台化建设成果</w:t>
      </w:r>
      <w:r>
        <w:t>：</w:t>
      </w:r>
    </w:p>
    <w:p w14:paraId="52FD602A">
      <w:pPr>
        <w:pStyle w:val="30"/>
        <w:keepNext w:val="0"/>
        <w:keepLines w:val="0"/>
        <w:widowControl/>
        <w:numPr>
          <w:ilvl w:val="0"/>
          <w:numId w:val="12"/>
        </w:numPr>
        <w:suppressLineNumbers w:val="0"/>
        <w:ind w:left="420" w:leftChars="0" w:hanging="420" w:firstLineChars="0"/>
      </w:pPr>
      <w:r>
        <w:t>国家级普通外科内镜培训基地；</w:t>
      </w:r>
    </w:p>
    <w:p w14:paraId="20B09721">
      <w:pPr>
        <w:pStyle w:val="30"/>
        <w:keepNext w:val="0"/>
        <w:keepLines w:val="0"/>
        <w:widowControl/>
        <w:numPr>
          <w:ilvl w:val="0"/>
          <w:numId w:val="12"/>
        </w:numPr>
        <w:suppressLineNumbers w:val="0"/>
        <w:ind w:left="420" w:leftChars="0" w:hanging="420" w:firstLineChars="0"/>
      </w:pPr>
      <w:r>
        <w:t>博士科研工作站（腹膜癌方向）；</w:t>
      </w:r>
    </w:p>
    <w:p w14:paraId="70DC5F90">
      <w:pPr>
        <w:pStyle w:val="30"/>
        <w:keepNext w:val="0"/>
        <w:keepLines w:val="0"/>
        <w:widowControl/>
        <w:numPr>
          <w:ilvl w:val="0"/>
          <w:numId w:val="12"/>
        </w:numPr>
        <w:suppressLineNumbers w:val="0"/>
        <w:ind w:left="420" w:leftChars="0" w:hanging="420" w:firstLineChars="0"/>
      </w:pPr>
      <w:r>
        <w:t>院士工作站（肿瘤防治方向）。</w:t>
      </w:r>
    </w:p>
    <w:p w14:paraId="3423E854">
      <w:pPr>
        <w:pStyle w:val="30"/>
        <w:keepNext w:val="0"/>
        <w:keepLines w:val="0"/>
        <w:widowControl/>
        <w:numPr>
          <w:ilvl w:val="0"/>
          <w:numId w:val="10"/>
        </w:numPr>
        <w:suppressLineNumbers w:val="0"/>
        <w:ind w:left="425" w:leftChars="0" w:hanging="425" w:firstLineChars="0"/>
      </w:pPr>
      <w:r>
        <w:rPr>
          <w:rStyle w:val="134"/>
        </w:rPr>
        <w:t>代表性科研成果</w:t>
      </w:r>
      <w:r>
        <w:t>：</w:t>
      </w:r>
    </w:p>
    <w:p w14:paraId="0991A0DB">
      <w:pPr>
        <w:pStyle w:val="30"/>
        <w:keepNext w:val="0"/>
        <w:keepLines w:val="0"/>
        <w:widowControl/>
        <w:numPr>
          <w:ilvl w:val="0"/>
          <w:numId w:val="13"/>
        </w:numPr>
        <w:suppressLineNumbers w:val="0"/>
        <w:ind w:left="420" w:leftChars="0" w:hanging="420" w:firstLineChars="0"/>
      </w:pPr>
      <w:r>
        <w:t>国自然面上项目1项（主持）；</w:t>
      </w:r>
    </w:p>
    <w:p w14:paraId="2B1838C8">
      <w:pPr>
        <w:pStyle w:val="30"/>
        <w:keepNext w:val="0"/>
        <w:keepLines w:val="0"/>
        <w:widowControl/>
        <w:numPr>
          <w:ilvl w:val="0"/>
          <w:numId w:val="13"/>
        </w:numPr>
        <w:suppressLineNumbers w:val="0"/>
        <w:ind w:left="420" w:leftChars="0" w:hanging="420" w:firstLineChars="0"/>
      </w:pPr>
      <w:r>
        <w:t>自治区重点研发项目1项；</w:t>
      </w:r>
    </w:p>
    <w:p w14:paraId="798A0F4B">
      <w:pPr>
        <w:pStyle w:val="30"/>
        <w:keepNext w:val="0"/>
        <w:keepLines w:val="0"/>
        <w:widowControl/>
        <w:numPr>
          <w:ilvl w:val="0"/>
          <w:numId w:val="13"/>
        </w:numPr>
        <w:suppressLineNumbers w:val="0"/>
        <w:ind w:left="420" w:leftChars="0" w:hanging="420" w:firstLineChars="0"/>
      </w:pPr>
      <w:r>
        <w:t>市级科技创新项目多项；</w:t>
      </w:r>
    </w:p>
    <w:p w14:paraId="71E2E7A4">
      <w:pPr>
        <w:pStyle w:val="30"/>
        <w:keepNext w:val="0"/>
        <w:keepLines w:val="0"/>
        <w:widowControl/>
        <w:numPr>
          <w:ilvl w:val="0"/>
          <w:numId w:val="13"/>
        </w:numPr>
        <w:suppressLineNumbers w:val="0"/>
        <w:ind w:left="420" w:leftChars="0" w:hanging="420" w:firstLineChars="0"/>
      </w:pPr>
      <w:r>
        <w:t>SCI高水平论文持续发表，转化装置进入打样阶段。</w:t>
      </w:r>
    </w:p>
    <w:p w14:paraId="7A9C03F8">
      <w:pPr>
        <w:pStyle w:val="4"/>
        <w:keepNext w:val="0"/>
        <w:keepLines w:val="0"/>
        <w:widowControl/>
        <w:suppressLineNumbers w:val="0"/>
      </w:pPr>
      <w:r>
        <w:rPr>
          <w:rStyle w:val="134"/>
          <w:b/>
          <w:bCs/>
        </w:rPr>
        <w:t>第四章 学科发展阶段与技术演进</w:t>
      </w:r>
    </w:p>
    <w:p w14:paraId="23AA37F6">
      <w:pPr>
        <w:pStyle w:val="30"/>
        <w:keepNext w:val="0"/>
        <w:keepLines w:val="0"/>
        <w:widowControl/>
        <w:suppressLineNumbers w:val="0"/>
        <w:ind w:firstLine="480" w:firstLineChars="200"/>
      </w:pPr>
      <w:r>
        <w:t>按照学科发展历程和技术演进脉络，胃肠外科的建设大体可划分为以下阶段：</w:t>
      </w:r>
    </w:p>
    <w:tbl>
      <w:tblPr>
        <w:tblStyle w:val="33"/>
        <w:tblW w:w="9617" w:type="dxa"/>
        <w:jc w:val="center"/>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1844"/>
        <w:gridCol w:w="1856"/>
        <w:gridCol w:w="3350"/>
        <w:gridCol w:w="2567"/>
      </w:tblGrid>
      <w:tr w14:paraId="7109B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blHeader/>
          <w:tblCellSpacing w:w="15" w:type="dxa"/>
          <w:jc w:val="center"/>
        </w:trPr>
        <w:tc>
          <w:tcPr>
            <w:tcW w:w="1799" w:type="dxa"/>
            <w:shd w:val="clear" w:color="auto" w:fill="auto"/>
            <w:vAlign w:val="center"/>
          </w:tcPr>
          <w:p w14:paraId="0B663132">
            <w:pPr>
              <w:keepNext w:val="0"/>
              <w:keepLines w:val="0"/>
              <w:widowControl/>
              <w:suppressLineNumbers w:val="0"/>
              <w:snapToGrid w:val="0"/>
              <w:spacing w:line="240" w:lineRule="auto"/>
              <w:ind w:left="0" w:leftChars="0" w:right="0" w:rightChars="0" w:firstLine="0" w:firstLineChars="0"/>
              <w:jc w:val="center"/>
              <w:rPr>
                <w:rFonts w:hint="eastAsia" w:ascii="仿宋" w:hAnsi="仿宋" w:eastAsia="仿宋" w:cs="仿宋"/>
                <w:b/>
                <w:bCs/>
                <w:sz w:val="21"/>
                <w:szCs w:val="21"/>
              </w:rPr>
            </w:pPr>
            <w:r>
              <w:rPr>
                <w:rFonts w:hint="eastAsia" w:ascii="仿宋" w:hAnsi="仿宋" w:eastAsia="仿宋" w:cs="仿宋"/>
                <w:b/>
                <w:bCs/>
                <w:kern w:val="0"/>
                <w:sz w:val="21"/>
                <w:szCs w:val="21"/>
                <w:lang w:val="en-US" w:eastAsia="zh-CN" w:bidi="ar"/>
              </w:rPr>
              <w:t>阶段</w:t>
            </w:r>
          </w:p>
        </w:tc>
        <w:tc>
          <w:tcPr>
            <w:tcW w:w="1826" w:type="dxa"/>
            <w:shd w:val="clear" w:color="auto" w:fill="auto"/>
            <w:vAlign w:val="center"/>
          </w:tcPr>
          <w:p w14:paraId="76635E76">
            <w:pPr>
              <w:keepNext w:val="0"/>
              <w:keepLines w:val="0"/>
              <w:widowControl/>
              <w:suppressLineNumbers w:val="0"/>
              <w:snapToGrid w:val="0"/>
              <w:spacing w:line="240" w:lineRule="auto"/>
              <w:ind w:left="0" w:leftChars="0" w:right="0" w:rightChars="0" w:firstLine="0" w:firstLineChars="0"/>
              <w:jc w:val="center"/>
              <w:rPr>
                <w:rFonts w:hint="eastAsia" w:ascii="仿宋" w:hAnsi="仿宋" w:eastAsia="仿宋" w:cs="仿宋"/>
                <w:b/>
                <w:bCs/>
                <w:sz w:val="21"/>
                <w:szCs w:val="21"/>
              </w:rPr>
            </w:pPr>
            <w:r>
              <w:rPr>
                <w:rFonts w:hint="eastAsia" w:ascii="仿宋" w:hAnsi="仿宋" w:eastAsia="仿宋" w:cs="仿宋"/>
                <w:b/>
                <w:bCs/>
                <w:kern w:val="0"/>
                <w:sz w:val="21"/>
                <w:szCs w:val="21"/>
                <w:lang w:val="en-US" w:eastAsia="zh-CN" w:bidi="ar"/>
              </w:rPr>
              <w:t>主体方向</w:t>
            </w:r>
          </w:p>
        </w:tc>
        <w:tc>
          <w:tcPr>
            <w:tcW w:w="3320" w:type="dxa"/>
            <w:shd w:val="clear" w:color="auto" w:fill="auto"/>
            <w:vAlign w:val="center"/>
          </w:tcPr>
          <w:p w14:paraId="26D7FF08">
            <w:pPr>
              <w:keepNext w:val="0"/>
              <w:keepLines w:val="0"/>
              <w:widowControl/>
              <w:suppressLineNumbers w:val="0"/>
              <w:snapToGrid w:val="0"/>
              <w:spacing w:line="240" w:lineRule="auto"/>
              <w:ind w:left="0" w:leftChars="0" w:right="0" w:rightChars="0" w:firstLine="0" w:firstLineChars="0"/>
              <w:jc w:val="center"/>
              <w:rPr>
                <w:rFonts w:hint="eastAsia" w:ascii="仿宋" w:hAnsi="仿宋" w:eastAsia="仿宋" w:cs="仿宋"/>
                <w:b/>
                <w:bCs/>
                <w:sz w:val="21"/>
                <w:szCs w:val="21"/>
              </w:rPr>
            </w:pPr>
            <w:r>
              <w:rPr>
                <w:rFonts w:hint="eastAsia" w:ascii="仿宋" w:hAnsi="仿宋" w:eastAsia="仿宋" w:cs="仿宋"/>
                <w:b/>
                <w:bCs/>
                <w:kern w:val="0"/>
                <w:sz w:val="21"/>
                <w:szCs w:val="21"/>
                <w:lang w:val="en-US" w:eastAsia="zh-CN" w:bidi="ar"/>
              </w:rPr>
              <w:t>技术特征</w:t>
            </w:r>
          </w:p>
        </w:tc>
        <w:tc>
          <w:tcPr>
            <w:tcW w:w="2522" w:type="dxa"/>
            <w:shd w:val="clear" w:color="auto" w:fill="auto"/>
            <w:vAlign w:val="center"/>
          </w:tcPr>
          <w:p w14:paraId="401C6E03">
            <w:pPr>
              <w:keepNext w:val="0"/>
              <w:keepLines w:val="0"/>
              <w:widowControl/>
              <w:suppressLineNumbers w:val="0"/>
              <w:snapToGrid w:val="0"/>
              <w:spacing w:line="240" w:lineRule="auto"/>
              <w:ind w:left="0" w:leftChars="0" w:right="0" w:rightChars="0" w:firstLine="0" w:firstLineChars="0"/>
              <w:jc w:val="center"/>
              <w:rPr>
                <w:rFonts w:hint="eastAsia" w:ascii="仿宋" w:hAnsi="仿宋" w:eastAsia="仿宋" w:cs="仿宋"/>
                <w:b/>
                <w:bCs/>
                <w:sz w:val="21"/>
                <w:szCs w:val="21"/>
              </w:rPr>
            </w:pPr>
            <w:r>
              <w:rPr>
                <w:rFonts w:hint="eastAsia" w:ascii="仿宋" w:hAnsi="仿宋" w:eastAsia="仿宋" w:cs="仿宋"/>
                <w:b/>
                <w:bCs/>
                <w:kern w:val="0"/>
                <w:sz w:val="21"/>
                <w:szCs w:val="21"/>
                <w:lang w:val="en-US" w:eastAsia="zh-CN" w:bidi="ar"/>
              </w:rPr>
              <w:t>科学问题/目标</w:t>
            </w:r>
          </w:p>
        </w:tc>
      </w:tr>
      <w:tr w14:paraId="672E6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tblCellSpacing w:w="15" w:type="dxa"/>
          <w:jc w:val="center"/>
        </w:trPr>
        <w:tc>
          <w:tcPr>
            <w:tcW w:w="1799" w:type="dxa"/>
            <w:shd w:val="clear" w:color="auto" w:fill="auto"/>
            <w:vAlign w:val="center"/>
          </w:tcPr>
          <w:p w14:paraId="181F7650">
            <w:pPr>
              <w:keepNext w:val="0"/>
              <w:keepLines w:val="0"/>
              <w:widowControl/>
              <w:suppressLineNumbers w:val="0"/>
              <w:snapToGrid w:val="0"/>
              <w:spacing w:line="240" w:lineRule="auto"/>
              <w:ind w:left="0" w:leftChars="0" w:right="0" w:rightChars="0" w:firstLine="0" w:firstLineChars="0"/>
              <w:jc w:val="left"/>
              <w:rPr>
                <w:rStyle w:val="134"/>
                <w:rFonts w:hint="eastAsia" w:ascii="仿宋" w:hAnsi="仿宋" w:eastAsia="仿宋" w:cs="仿宋"/>
                <w:kern w:val="0"/>
                <w:sz w:val="21"/>
                <w:szCs w:val="21"/>
                <w:lang w:val="en-US" w:eastAsia="zh-CN" w:bidi="ar"/>
              </w:rPr>
            </w:pPr>
            <w:r>
              <w:rPr>
                <w:rStyle w:val="134"/>
                <w:rFonts w:hint="eastAsia" w:ascii="仿宋" w:hAnsi="仿宋" w:eastAsia="仿宋" w:cs="仿宋"/>
                <w:color w:val="0000FF"/>
                <w:kern w:val="0"/>
                <w:sz w:val="21"/>
                <w:szCs w:val="21"/>
                <w:lang w:val="en-US" w:eastAsia="zh-CN" w:bidi="ar"/>
              </w:rPr>
              <w:t>开腹手术规范化阶段</w:t>
            </w:r>
            <w:r>
              <w:rPr>
                <w:rStyle w:val="134"/>
                <w:rFonts w:hint="eastAsia" w:ascii="仿宋" w:hAnsi="仿宋" w:eastAsia="仿宋" w:cs="仿宋"/>
                <w:kern w:val="0"/>
                <w:sz w:val="21"/>
                <w:szCs w:val="21"/>
                <w:lang w:val="en-US" w:eastAsia="zh-CN" w:bidi="ar"/>
              </w:rPr>
              <w:t>（2004~2007）</w:t>
            </w:r>
          </w:p>
        </w:tc>
        <w:tc>
          <w:tcPr>
            <w:tcW w:w="1826" w:type="dxa"/>
            <w:shd w:val="clear" w:color="auto" w:fill="auto"/>
            <w:vAlign w:val="center"/>
          </w:tcPr>
          <w:p w14:paraId="46C66819">
            <w:pPr>
              <w:keepNext w:val="0"/>
              <w:keepLines w:val="0"/>
              <w:widowControl/>
              <w:suppressLineNumbers w:val="0"/>
              <w:snapToGrid w:val="0"/>
              <w:spacing w:line="240" w:lineRule="auto"/>
              <w:ind w:left="0" w:leftChars="0" w:right="0" w:rightChars="0" w:firstLine="0" w:firstLineChars="0"/>
              <w:jc w:val="left"/>
              <w:rPr>
                <w:rFonts w:hint="eastAsia" w:ascii="仿宋" w:hAnsi="仿宋" w:eastAsia="仿宋" w:cs="仿宋"/>
                <w:kern w:val="0"/>
                <w:sz w:val="21"/>
                <w:szCs w:val="21"/>
                <w:lang w:val="en-US" w:eastAsia="zh-CN" w:bidi="ar"/>
              </w:rPr>
            </w:pPr>
            <w:r>
              <w:rPr>
                <w:rFonts w:hint="eastAsia" w:ascii="仿宋" w:hAnsi="仿宋" w:eastAsia="仿宋" w:cs="仿宋"/>
                <w:sz w:val="21"/>
                <w:szCs w:val="21"/>
              </w:rPr>
              <w:t>从粗放式手术向</w:t>
            </w:r>
            <w:r>
              <w:rPr>
                <w:rFonts w:hint="eastAsia" w:ascii="仿宋" w:hAnsi="仿宋" w:eastAsia="仿宋" w:cs="仿宋"/>
                <w:sz w:val="21"/>
                <w:szCs w:val="21"/>
                <w:lang w:val="en-US" w:eastAsia="zh-CN"/>
              </w:rPr>
              <w:t>膜</w:t>
            </w:r>
            <w:r>
              <w:rPr>
                <w:rFonts w:hint="eastAsia" w:ascii="仿宋" w:hAnsi="仿宋" w:eastAsia="仿宋" w:cs="仿宋"/>
                <w:sz w:val="21"/>
                <w:szCs w:val="21"/>
              </w:rPr>
              <w:t>解剖精细化</w:t>
            </w:r>
            <w:r>
              <w:rPr>
                <w:rFonts w:hint="eastAsia" w:ascii="仿宋" w:hAnsi="仿宋" w:eastAsia="仿宋" w:cs="仿宋"/>
                <w:sz w:val="21"/>
                <w:szCs w:val="21"/>
                <w:lang w:val="en-US" w:eastAsia="zh-CN"/>
              </w:rPr>
              <w:t>技术</w:t>
            </w:r>
            <w:r>
              <w:rPr>
                <w:rFonts w:hint="eastAsia" w:ascii="仿宋" w:hAnsi="仿宋" w:eastAsia="仿宋" w:cs="仿宋"/>
                <w:sz w:val="21"/>
                <w:szCs w:val="21"/>
              </w:rPr>
              <w:t>跨越</w:t>
            </w:r>
          </w:p>
        </w:tc>
        <w:tc>
          <w:tcPr>
            <w:tcW w:w="3320" w:type="dxa"/>
            <w:shd w:val="clear" w:color="auto" w:fill="auto"/>
            <w:vAlign w:val="center"/>
          </w:tcPr>
          <w:p w14:paraId="3D8C0BB5">
            <w:pPr>
              <w:keepNext w:val="0"/>
              <w:keepLines w:val="0"/>
              <w:widowControl/>
              <w:suppressLineNumbers w:val="0"/>
              <w:snapToGrid w:val="0"/>
              <w:spacing w:line="240" w:lineRule="auto"/>
              <w:ind w:left="0" w:leftChars="0" w:right="0" w:rightChars="0" w:firstLine="0" w:firstLineChars="0"/>
              <w:jc w:val="left"/>
              <w:rPr>
                <w:rFonts w:hint="eastAsia" w:ascii="仿宋" w:hAnsi="仿宋" w:eastAsia="仿宋" w:cs="仿宋"/>
                <w:kern w:val="0"/>
                <w:sz w:val="21"/>
                <w:szCs w:val="21"/>
                <w:lang w:val="en-US" w:eastAsia="zh-CN" w:bidi="ar"/>
              </w:rPr>
            </w:pPr>
            <w:r>
              <w:rPr>
                <w:rFonts w:hint="eastAsia" w:ascii="仿宋" w:hAnsi="仿宋" w:eastAsia="仿宋" w:cs="仿宋"/>
                <w:kern w:val="0"/>
                <w:sz w:val="21"/>
                <w:szCs w:val="21"/>
                <w:lang w:val="en-US" w:eastAsia="zh-CN" w:bidi="ar"/>
              </w:rPr>
              <w:t>以胃肠道肿瘤根治术为核心，从“大出血手术”迈向“自主控血”时代；创立单通道空肠间置术，规范术中操作与术后恢复流程</w:t>
            </w:r>
          </w:p>
        </w:tc>
        <w:tc>
          <w:tcPr>
            <w:tcW w:w="2522" w:type="dxa"/>
            <w:shd w:val="clear" w:color="auto" w:fill="auto"/>
            <w:vAlign w:val="center"/>
          </w:tcPr>
          <w:p w14:paraId="7275EF82">
            <w:pPr>
              <w:keepNext w:val="0"/>
              <w:keepLines w:val="0"/>
              <w:widowControl/>
              <w:suppressLineNumbers w:val="0"/>
              <w:snapToGrid w:val="0"/>
              <w:spacing w:line="240" w:lineRule="auto"/>
              <w:ind w:left="0" w:leftChars="0" w:right="0" w:rightChars="0" w:firstLine="0" w:firstLineChars="0"/>
              <w:jc w:val="left"/>
              <w:rPr>
                <w:rFonts w:hint="eastAsia" w:ascii="仿宋" w:hAnsi="仿宋" w:eastAsia="仿宋" w:cs="仿宋"/>
                <w:kern w:val="0"/>
                <w:sz w:val="21"/>
                <w:szCs w:val="21"/>
                <w:lang w:val="en-US" w:eastAsia="zh-CN" w:bidi="ar"/>
              </w:rPr>
            </w:pPr>
            <w:r>
              <w:rPr>
                <w:rFonts w:hint="eastAsia" w:ascii="仿宋" w:hAnsi="仿宋" w:eastAsia="仿宋" w:cs="仿宋"/>
                <w:sz w:val="21"/>
                <w:szCs w:val="21"/>
              </w:rPr>
              <w:t>探索规范性手术体系，降低术中风险与围术期并发症；提升术后功能重建质量，为微创技术奠基</w:t>
            </w:r>
          </w:p>
        </w:tc>
      </w:tr>
      <w:tr w14:paraId="4F697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blCellSpacing w:w="15" w:type="dxa"/>
          <w:jc w:val="center"/>
        </w:trPr>
        <w:tc>
          <w:tcPr>
            <w:tcW w:w="1799" w:type="dxa"/>
            <w:shd w:val="clear" w:color="auto" w:fill="auto"/>
            <w:vAlign w:val="center"/>
          </w:tcPr>
          <w:p w14:paraId="6565F0D7">
            <w:pPr>
              <w:keepNext w:val="0"/>
              <w:keepLines w:val="0"/>
              <w:widowControl/>
              <w:suppressLineNumbers w:val="0"/>
              <w:snapToGrid w:val="0"/>
              <w:spacing w:line="240" w:lineRule="auto"/>
              <w:ind w:left="0" w:leftChars="0" w:right="0" w:rightChars="0" w:firstLine="0" w:firstLineChars="0"/>
              <w:jc w:val="left"/>
              <w:rPr>
                <w:rFonts w:hint="eastAsia" w:ascii="仿宋" w:hAnsi="仿宋" w:eastAsia="仿宋" w:cs="仿宋"/>
                <w:sz w:val="21"/>
                <w:szCs w:val="21"/>
              </w:rPr>
            </w:pPr>
            <w:r>
              <w:rPr>
                <w:rStyle w:val="134"/>
                <w:rFonts w:hint="eastAsia" w:cs="仿宋"/>
                <w:color w:val="0000FF"/>
                <w:kern w:val="0"/>
                <w:sz w:val="21"/>
                <w:szCs w:val="21"/>
                <w:lang w:val="en-US" w:eastAsia="zh-CN" w:bidi="ar"/>
              </w:rPr>
              <w:t>腹腔镜辅助手术与</w:t>
            </w:r>
            <w:r>
              <w:rPr>
                <w:rStyle w:val="134"/>
                <w:rFonts w:hint="eastAsia" w:ascii="仿宋" w:hAnsi="仿宋" w:eastAsia="仿宋" w:cs="仿宋"/>
                <w:color w:val="0000FF"/>
                <w:kern w:val="0"/>
                <w:sz w:val="21"/>
                <w:szCs w:val="21"/>
                <w:lang w:val="en-US" w:eastAsia="zh-CN" w:bidi="ar"/>
              </w:rPr>
              <w:t>ERAS建立阶段</w:t>
            </w:r>
            <w:r>
              <w:rPr>
                <w:rFonts w:hint="eastAsia" w:ascii="仿宋" w:hAnsi="仿宋" w:eastAsia="仿宋" w:cs="仿宋"/>
                <w:kern w:val="0"/>
                <w:sz w:val="21"/>
                <w:szCs w:val="21"/>
                <w:lang w:val="en-US" w:eastAsia="zh-CN" w:bidi="ar"/>
              </w:rPr>
              <w:t>（2008–2016）</w:t>
            </w:r>
          </w:p>
        </w:tc>
        <w:tc>
          <w:tcPr>
            <w:tcW w:w="1826" w:type="dxa"/>
            <w:shd w:val="clear" w:color="auto" w:fill="auto"/>
            <w:vAlign w:val="center"/>
          </w:tcPr>
          <w:p w14:paraId="0C128A49">
            <w:pPr>
              <w:keepNext w:val="0"/>
              <w:keepLines w:val="0"/>
              <w:widowControl/>
              <w:suppressLineNumbers w:val="0"/>
              <w:snapToGrid w:val="0"/>
              <w:spacing w:line="240" w:lineRule="auto"/>
              <w:ind w:left="0" w:leftChars="0" w:right="0" w:rightChars="0" w:firstLine="0" w:firstLineChars="0"/>
              <w:jc w:val="left"/>
              <w:rPr>
                <w:rFonts w:hint="eastAsia" w:ascii="仿宋" w:hAnsi="仿宋" w:eastAsia="仿宋" w:cs="仿宋"/>
                <w:sz w:val="21"/>
                <w:szCs w:val="21"/>
                <w:lang w:val="en-US" w:eastAsia="zh-CN"/>
              </w:rPr>
            </w:pPr>
            <w:r>
              <w:rPr>
                <w:rFonts w:hint="eastAsia" w:ascii="仿宋" w:hAnsi="仿宋" w:eastAsia="仿宋" w:cs="仿宋"/>
                <w:sz w:val="21"/>
                <w:szCs w:val="21"/>
              </w:rPr>
              <w:t>腹腔镜辅助胃肠肿瘤手术起步，ERAS理念导入</w:t>
            </w:r>
          </w:p>
        </w:tc>
        <w:tc>
          <w:tcPr>
            <w:tcW w:w="3320" w:type="dxa"/>
            <w:shd w:val="clear" w:color="auto" w:fill="auto"/>
            <w:vAlign w:val="center"/>
          </w:tcPr>
          <w:p w14:paraId="69816F4F">
            <w:pPr>
              <w:keepNext w:val="0"/>
              <w:keepLines w:val="0"/>
              <w:widowControl/>
              <w:suppressLineNumbers w:val="0"/>
              <w:snapToGrid w:val="0"/>
              <w:spacing w:line="240" w:lineRule="auto"/>
              <w:ind w:left="0" w:leftChars="0" w:right="0" w:rightChars="0" w:firstLine="0" w:firstLineChars="0"/>
              <w:jc w:val="left"/>
              <w:rPr>
                <w:rFonts w:hint="eastAsia" w:ascii="仿宋" w:hAnsi="仿宋" w:eastAsia="仿宋" w:cs="仿宋"/>
                <w:sz w:val="21"/>
                <w:szCs w:val="21"/>
              </w:rPr>
            </w:pPr>
            <w:r>
              <w:rPr>
                <w:rFonts w:hint="eastAsia" w:ascii="仿宋" w:hAnsi="仿宋" w:eastAsia="仿宋" w:cs="仿宋"/>
                <w:sz w:val="21"/>
                <w:szCs w:val="21"/>
                <w:lang w:val="en-US" w:eastAsia="zh-CN"/>
              </w:rPr>
              <w:t>从</w:t>
            </w:r>
            <w:r>
              <w:rPr>
                <w:rFonts w:hint="eastAsia" w:ascii="仿宋" w:hAnsi="仿宋" w:eastAsia="仿宋" w:cs="仿宋"/>
                <w:sz w:val="21"/>
                <w:szCs w:val="21"/>
              </w:rPr>
              <w:t>开腹手术向腹腔镜辅助手术的过渡</w:t>
            </w:r>
            <w:r>
              <w:rPr>
                <w:rFonts w:hint="eastAsia" w:ascii="仿宋" w:hAnsi="仿宋" w:eastAsia="仿宋" w:cs="仿宋"/>
                <w:sz w:val="21"/>
                <w:szCs w:val="21"/>
                <w:lang w:eastAsia="zh-CN"/>
              </w:rPr>
              <w:t>；</w:t>
            </w:r>
            <w:r>
              <w:rPr>
                <w:rFonts w:hint="eastAsia" w:ascii="仿宋" w:hAnsi="仿宋" w:eastAsia="仿宋" w:cs="仿宋"/>
                <w:sz w:val="21"/>
                <w:szCs w:val="21"/>
              </w:rPr>
              <w:t>初步建立区域ERAS路径体系</w:t>
            </w:r>
          </w:p>
        </w:tc>
        <w:tc>
          <w:tcPr>
            <w:tcW w:w="2522" w:type="dxa"/>
            <w:shd w:val="clear" w:color="auto" w:fill="auto"/>
            <w:vAlign w:val="center"/>
          </w:tcPr>
          <w:p w14:paraId="2586449F">
            <w:pPr>
              <w:keepNext w:val="0"/>
              <w:keepLines w:val="0"/>
              <w:widowControl/>
              <w:suppressLineNumbers w:val="0"/>
              <w:snapToGrid w:val="0"/>
              <w:spacing w:line="240" w:lineRule="auto"/>
              <w:ind w:left="0" w:leftChars="0" w:right="0" w:rightChars="0" w:firstLine="0" w:firstLineChars="0"/>
              <w:jc w:val="left"/>
              <w:rPr>
                <w:rFonts w:hint="eastAsia" w:ascii="仿宋" w:hAnsi="仿宋" w:eastAsia="仿宋" w:cs="仿宋"/>
                <w:sz w:val="21"/>
                <w:szCs w:val="21"/>
                <w:lang w:val="en-US"/>
              </w:rPr>
            </w:pPr>
            <w:r>
              <w:rPr>
                <w:rFonts w:hint="eastAsia" w:ascii="仿宋" w:hAnsi="仿宋" w:eastAsia="仿宋" w:cs="仿宋"/>
                <w:sz w:val="21"/>
                <w:szCs w:val="21"/>
              </w:rPr>
              <w:t>推动胃肠肿瘤手术的微创化与标准化，建立以患者康复为核心的围术期管理体系</w:t>
            </w:r>
          </w:p>
        </w:tc>
      </w:tr>
      <w:tr w14:paraId="7A4E7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blCellSpacing w:w="15" w:type="dxa"/>
          <w:jc w:val="center"/>
        </w:trPr>
        <w:tc>
          <w:tcPr>
            <w:tcW w:w="1799" w:type="dxa"/>
            <w:shd w:val="clear" w:color="auto" w:fill="auto"/>
            <w:vAlign w:val="center"/>
          </w:tcPr>
          <w:p w14:paraId="19003B3C">
            <w:pPr>
              <w:keepNext w:val="0"/>
              <w:keepLines w:val="0"/>
              <w:widowControl/>
              <w:suppressLineNumbers w:val="0"/>
              <w:snapToGrid w:val="0"/>
              <w:spacing w:line="240" w:lineRule="auto"/>
              <w:ind w:left="0" w:leftChars="0" w:right="0" w:rightChars="0" w:firstLine="0" w:firstLineChars="0"/>
              <w:jc w:val="left"/>
              <w:rPr>
                <w:rFonts w:hint="eastAsia" w:ascii="仿宋" w:hAnsi="仿宋" w:eastAsia="仿宋" w:cs="仿宋"/>
                <w:sz w:val="21"/>
                <w:szCs w:val="21"/>
              </w:rPr>
            </w:pPr>
            <w:r>
              <w:rPr>
                <w:rStyle w:val="134"/>
                <w:rFonts w:hint="eastAsia" w:ascii="仿宋" w:hAnsi="仿宋" w:eastAsia="仿宋" w:cs="仿宋"/>
                <w:color w:val="0000FF"/>
                <w:kern w:val="0"/>
                <w:sz w:val="21"/>
                <w:szCs w:val="21"/>
                <w:lang w:val="en-US" w:eastAsia="zh-CN" w:bidi="ar"/>
              </w:rPr>
              <w:t>完全腹腔镜手术与多镜融合阶段</w:t>
            </w:r>
            <w:r>
              <w:rPr>
                <w:rFonts w:hint="eastAsia" w:ascii="仿宋" w:hAnsi="仿宋" w:eastAsia="仿宋" w:cs="仿宋"/>
                <w:kern w:val="0"/>
                <w:sz w:val="21"/>
                <w:szCs w:val="21"/>
                <w:lang w:val="en-US" w:eastAsia="zh-CN" w:bidi="ar"/>
              </w:rPr>
              <w:t xml:space="preserve"> （2017–2023）</w:t>
            </w:r>
          </w:p>
        </w:tc>
        <w:tc>
          <w:tcPr>
            <w:tcW w:w="1826" w:type="dxa"/>
            <w:shd w:val="clear" w:color="auto" w:fill="auto"/>
            <w:vAlign w:val="center"/>
          </w:tcPr>
          <w:p w14:paraId="6B790772">
            <w:pPr>
              <w:keepNext w:val="0"/>
              <w:keepLines w:val="0"/>
              <w:widowControl/>
              <w:suppressLineNumbers w:val="0"/>
              <w:snapToGrid w:val="0"/>
              <w:spacing w:line="240" w:lineRule="auto"/>
              <w:ind w:left="0" w:leftChars="0" w:right="0" w:rightChars="0" w:firstLine="0" w:firstLineChars="0"/>
              <w:jc w:val="left"/>
              <w:rPr>
                <w:rFonts w:hint="eastAsia" w:ascii="仿宋" w:hAnsi="仿宋" w:eastAsia="仿宋" w:cs="仿宋"/>
                <w:sz w:val="21"/>
                <w:szCs w:val="21"/>
                <w:lang w:val="en-US"/>
              </w:rPr>
            </w:pPr>
            <w:r>
              <w:rPr>
                <w:rFonts w:hint="eastAsia" w:ascii="仿宋" w:hAnsi="仿宋" w:eastAsia="仿宋" w:cs="仿宋"/>
                <w:kern w:val="0"/>
                <w:sz w:val="21"/>
                <w:szCs w:val="21"/>
                <w:lang w:val="en-US" w:eastAsia="zh-CN" w:bidi="ar"/>
              </w:rPr>
              <w:t>完全腹腔镜胃肠道肿瘤根治术从启动走向成熟；“7镜技术”体系化与SPC-ERAS理论构建；</w:t>
            </w:r>
          </w:p>
        </w:tc>
        <w:tc>
          <w:tcPr>
            <w:tcW w:w="3320" w:type="dxa"/>
            <w:shd w:val="clear" w:color="auto" w:fill="auto"/>
            <w:vAlign w:val="center"/>
          </w:tcPr>
          <w:p w14:paraId="01D44CE1">
            <w:pPr>
              <w:keepNext w:val="0"/>
              <w:keepLines w:val="0"/>
              <w:widowControl/>
              <w:suppressLineNumbers w:val="0"/>
              <w:snapToGrid w:val="0"/>
              <w:spacing w:line="240" w:lineRule="auto"/>
              <w:ind w:left="0" w:leftChars="0" w:right="0" w:rightChars="0" w:firstLine="0" w:firstLineChars="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从腹腔镜辅助手术向完全腹腔镜手术的跨越；胃镜、肠镜、经肛TEM、胸腔镜及超声内镜等多镜协同操作，形成解剖-操作-康复一体化模式</w:t>
            </w:r>
          </w:p>
        </w:tc>
        <w:tc>
          <w:tcPr>
            <w:tcW w:w="2522" w:type="dxa"/>
            <w:shd w:val="clear" w:color="auto" w:fill="auto"/>
            <w:vAlign w:val="center"/>
          </w:tcPr>
          <w:p w14:paraId="7BA2F701">
            <w:pPr>
              <w:keepNext w:val="0"/>
              <w:keepLines w:val="0"/>
              <w:widowControl/>
              <w:suppressLineNumbers w:val="0"/>
              <w:snapToGrid w:val="0"/>
              <w:spacing w:line="240" w:lineRule="auto"/>
              <w:ind w:left="0" w:leftChars="0" w:right="0" w:rightChars="0" w:firstLine="0" w:firstLineChars="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建立区域领先的多镜协同微创体系标准，实现由手术技术突破向系统化微创策略的升级</w:t>
            </w:r>
          </w:p>
        </w:tc>
      </w:tr>
      <w:tr w14:paraId="6DBCA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blCellSpacing w:w="15" w:type="dxa"/>
          <w:jc w:val="center"/>
        </w:trPr>
        <w:tc>
          <w:tcPr>
            <w:tcW w:w="1799" w:type="dxa"/>
            <w:shd w:val="clear" w:color="auto" w:fill="auto"/>
            <w:vAlign w:val="center"/>
          </w:tcPr>
          <w:p w14:paraId="2C523ED7">
            <w:pPr>
              <w:keepNext w:val="0"/>
              <w:keepLines w:val="0"/>
              <w:widowControl/>
              <w:suppressLineNumbers w:val="0"/>
              <w:snapToGrid w:val="0"/>
              <w:spacing w:line="240" w:lineRule="auto"/>
              <w:ind w:left="0" w:leftChars="0" w:right="0" w:rightChars="0" w:firstLine="0" w:firstLineChars="0"/>
              <w:jc w:val="left"/>
              <w:rPr>
                <w:rFonts w:hint="eastAsia" w:ascii="仿宋" w:hAnsi="仿宋" w:eastAsia="仿宋" w:cs="仿宋"/>
                <w:sz w:val="21"/>
                <w:szCs w:val="21"/>
              </w:rPr>
            </w:pPr>
            <w:r>
              <w:rPr>
                <w:rStyle w:val="134"/>
                <w:rFonts w:hint="eastAsia" w:ascii="仿宋" w:hAnsi="仿宋" w:eastAsia="仿宋" w:cs="仿宋"/>
                <w:color w:val="0000FF"/>
                <w:kern w:val="0"/>
                <w:sz w:val="21"/>
                <w:szCs w:val="21"/>
                <w:lang w:val="en-US" w:eastAsia="zh-CN" w:bidi="ar"/>
              </w:rPr>
              <w:t>向研究型科室转型阶段</w:t>
            </w:r>
            <w:r>
              <w:rPr>
                <w:rFonts w:hint="eastAsia" w:ascii="仿宋" w:hAnsi="仿宋" w:eastAsia="仿宋" w:cs="仿宋"/>
                <w:kern w:val="0"/>
                <w:sz w:val="21"/>
                <w:szCs w:val="21"/>
                <w:lang w:val="en-US" w:eastAsia="zh-CN" w:bidi="ar"/>
              </w:rPr>
              <w:t xml:space="preserve"> （2024–2027）</w:t>
            </w:r>
          </w:p>
        </w:tc>
        <w:tc>
          <w:tcPr>
            <w:tcW w:w="1826" w:type="dxa"/>
            <w:shd w:val="clear" w:color="auto" w:fill="auto"/>
            <w:vAlign w:val="center"/>
          </w:tcPr>
          <w:p w14:paraId="58A12130">
            <w:pPr>
              <w:keepNext w:val="0"/>
              <w:keepLines w:val="0"/>
              <w:widowControl/>
              <w:suppressLineNumbers w:val="0"/>
              <w:snapToGrid w:val="0"/>
              <w:spacing w:line="240" w:lineRule="auto"/>
              <w:ind w:left="0" w:leftChars="0" w:right="0" w:rightChars="0" w:firstLine="0" w:firstLineChars="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医工融合与智能装备研发</w:t>
            </w:r>
          </w:p>
        </w:tc>
        <w:tc>
          <w:tcPr>
            <w:tcW w:w="3320" w:type="dxa"/>
            <w:shd w:val="clear" w:color="auto" w:fill="auto"/>
            <w:vAlign w:val="center"/>
          </w:tcPr>
          <w:p w14:paraId="241C687D">
            <w:pPr>
              <w:keepNext w:val="0"/>
              <w:keepLines w:val="0"/>
              <w:widowControl/>
              <w:suppressLineNumbers w:val="0"/>
              <w:snapToGrid w:val="0"/>
              <w:spacing w:line="240" w:lineRule="auto"/>
              <w:ind w:left="0" w:leftChars="0" w:right="0" w:rightChars="0" w:firstLine="0" w:firstLineChars="0"/>
              <w:jc w:val="left"/>
              <w:rPr>
                <w:rFonts w:hint="eastAsia" w:ascii="仿宋" w:hAnsi="仿宋" w:eastAsia="仿宋" w:cs="仿宋"/>
                <w:sz w:val="21"/>
                <w:szCs w:val="21"/>
              </w:rPr>
            </w:pPr>
            <w:r>
              <w:rPr>
                <w:rFonts w:hint="eastAsia" w:ascii="仿宋" w:hAnsi="仿宋" w:eastAsia="仿宋" w:cs="仿宋"/>
                <w:sz w:val="21"/>
                <w:szCs w:val="21"/>
              </w:rPr>
              <w:t>聚焦手控机械臂、智能辅助手术系统及创新内镜装备研发，形成可扩展、可验证的原型系统，实现人工智能在微创外科的临床前应用</w:t>
            </w:r>
          </w:p>
        </w:tc>
        <w:tc>
          <w:tcPr>
            <w:tcW w:w="2522" w:type="dxa"/>
            <w:shd w:val="clear" w:color="auto" w:fill="auto"/>
            <w:vAlign w:val="center"/>
          </w:tcPr>
          <w:p w14:paraId="2C02CC77">
            <w:pPr>
              <w:keepNext w:val="0"/>
              <w:keepLines w:val="0"/>
              <w:widowControl/>
              <w:suppressLineNumbers w:val="0"/>
              <w:snapToGrid w:val="0"/>
              <w:spacing w:line="240" w:lineRule="auto"/>
              <w:ind w:left="0" w:leftChars="0" w:right="0" w:rightChars="0" w:firstLine="0" w:firstLineChars="0"/>
              <w:jc w:val="left"/>
              <w:rPr>
                <w:rFonts w:hint="eastAsia" w:ascii="仿宋" w:hAnsi="仿宋" w:eastAsia="仿宋" w:cs="仿宋"/>
                <w:sz w:val="21"/>
                <w:szCs w:val="21"/>
              </w:rPr>
            </w:pPr>
            <w:r>
              <w:rPr>
                <w:rFonts w:hint="eastAsia" w:ascii="仿宋" w:hAnsi="仿宋" w:eastAsia="仿宋" w:cs="仿宋"/>
                <w:sz w:val="21"/>
                <w:szCs w:val="21"/>
              </w:rPr>
              <w:t>建立具备成果转化潜力的医工融合科研体系，实现智能微创技术的初步应用与验证</w:t>
            </w:r>
          </w:p>
        </w:tc>
      </w:tr>
      <w:tr w14:paraId="4A691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blCellSpacing w:w="15" w:type="dxa"/>
          <w:jc w:val="center"/>
        </w:trPr>
        <w:tc>
          <w:tcPr>
            <w:tcW w:w="1799" w:type="dxa"/>
            <w:shd w:val="clear" w:color="auto" w:fill="auto"/>
            <w:vAlign w:val="center"/>
          </w:tcPr>
          <w:p w14:paraId="05E1DD91">
            <w:pPr>
              <w:keepNext w:val="0"/>
              <w:keepLines w:val="0"/>
              <w:widowControl/>
              <w:suppressLineNumbers w:val="0"/>
              <w:snapToGrid w:val="0"/>
              <w:spacing w:line="240" w:lineRule="auto"/>
              <w:ind w:left="0" w:leftChars="0" w:right="0" w:rightChars="0" w:firstLine="0" w:firstLineChars="0"/>
              <w:jc w:val="left"/>
              <w:rPr>
                <w:rFonts w:hint="eastAsia" w:ascii="仿宋" w:hAnsi="仿宋" w:eastAsia="仿宋" w:cs="仿宋"/>
                <w:sz w:val="21"/>
                <w:szCs w:val="21"/>
              </w:rPr>
            </w:pPr>
            <w:r>
              <w:rPr>
                <w:rFonts w:hint="eastAsia" w:ascii="仿宋" w:hAnsi="仿宋" w:eastAsia="仿宋" w:cs="仿宋"/>
                <w:b/>
                <w:bCs/>
                <w:sz w:val="21"/>
                <w:szCs w:val="21"/>
              </w:rPr>
              <w:t>未来方向：</w:t>
            </w:r>
            <w:r>
              <w:rPr>
                <w:rFonts w:hint="eastAsia" w:ascii="仿宋" w:hAnsi="仿宋" w:eastAsia="仿宋" w:cs="仿宋"/>
                <w:b/>
                <w:bCs/>
                <w:color w:val="0000FF"/>
                <w:sz w:val="21"/>
                <w:szCs w:val="21"/>
              </w:rPr>
              <w:t>医工融合主导的研究型科室阶段</w:t>
            </w:r>
            <w:r>
              <w:rPr>
                <w:rFonts w:hint="eastAsia" w:ascii="仿宋" w:hAnsi="仿宋" w:eastAsia="仿宋" w:cs="仿宋"/>
                <w:sz w:val="21"/>
                <w:szCs w:val="21"/>
              </w:rPr>
              <w:t>（2028–2035）</w:t>
            </w:r>
          </w:p>
        </w:tc>
        <w:tc>
          <w:tcPr>
            <w:tcW w:w="1826" w:type="dxa"/>
            <w:shd w:val="clear" w:color="auto" w:fill="auto"/>
            <w:vAlign w:val="center"/>
          </w:tcPr>
          <w:p w14:paraId="3833ED26">
            <w:pPr>
              <w:pStyle w:val="30"/>
              <w:keepNext w:val="0"/>
              <w:keepLines w:val="0"/>
              <w:widowControl/>
              <w:suppressLineNumbers w:val="0"/>
              <w:snapToGrid w:val="0"/>
              <w:spacing w:before="0" w:beforeAutospacing="0" w:after="0" w:afterAutospacing="0" w:line="240" w:lineRule="auto"/>
              <w:ind w:left="0" w:right="0"/>
              <w:jc w:val="left"/>
              <w:rPr>
                <w:rFonts w:hint="eastAsia" w:ascii="仿宋" w:hAnsi="仿宋" w:eastAsia="仿宋" w:cs="仿宋"/>
                <w:sz w:val="21"/>
                <w:szCs w:val="21"/>
              </w:rPr>
            </w:pPr>
            <w:r>
              <w:rPr>
                <w:rFonts w:hint="eastAsia" w:ascii="仿宋" w:hAnsi="仿宋" w:eastAsia="仿宋" w:cs="仿宋"/>
                <w:sz w:val="21"/>
                <w:szCs w:val="21"/>
                <w:lang w:eastAsia="zh-CN"/>
              </w:rPr>
              <w:t>以构建智能化腹部外科微创体系为核心，形成“腹腔镜智能手术机器人、机器人化胃肠镜系统、认知型电子病历（C-EMR）平台”三大主线</w:t>
            </w:r>
          </w:p>
        </w:tc>
        <w:tc>
          <w:tcPr>
            <w:tcW w:w="3320" w:type="dxa"/>
            <w:shd w:val="clear" w:color="auto" w:fill="auto"/>
            <w:vAlign w:val="center"/>
          </w:tcPr>
          <w:p w14:paraId="1FC2B658">
            <w:pPr>
              <w:pStyle w:val="30"/>
              <w:keepNext w:val="0"/>
              <w:keepLines w:val="0"/>
              <w:widowControl/>
              <w:suppressLineNumbers w:val="0"/>
              <w:snapToGrid w:val="0"/>
              <w:spacing w:before="0" w:beforeAutospacing="0" w:after="0" w:afterAutospacing="0" w:line="240" w:lineRule="auto"/>
              <w:ind w:left="0" w:right="0"/>
              <w:jc w:val="left"/>
              <w:rPr>
                <w:rFonts w:hint="eastAsia" w:ascii="仿宋" w:hAnsi="仿宋" w:eastAsia="仿宋" w:cs="仿宋"/>
                <w:sz w:val="21"/>
                <w:szCs w:val="21"/>
              </w:rPr>
            </w:pPr>
            <w:r>
              <w:rPr>
                <w:rFonts w:hint="eastAsia" w:ascii="仿宋" w:hAnsi="仿宋" w:eastAsia="仿宋" w:cs="仿宋"/>
                <w:sz w:val="21"/>
                <w:szCs w:val="21"/>
                <w:lang w:eastAsia="zh-CN"/>
              </w:rPr>
              <w:t>腹腔镜机器人方向聚焦术者直控、视觉随动与多臂协作等关键技术突破；机器人胃肠镜方向以柔性机械臂与多模态视觉感知为核心，推动自主导航与复杂操作性能提升；C-EMR方向以大语言模型为引擎，构建具备语义理解、知识推理与临床决策支持功能的智能病历体系</w:t>
            </w:r>
          </w:p>
        </w:tc>
        <w:tc>
          <w:tcPr>
            <w:tcW w:w="2522" w:type="dxa"/>
            <w:shd w:val="clear" w:color="auto" w:fill="auto"/>
            <w:vAlign w:val="center"/>
          </w:tcPr>
          <w:p w14:paraId="22404187">
            <w:pPr>
              <w:keepNext w:val="0"/>
              <w:keepLines w:val="0"/>
              <w:widowControl/>
              <w:suppressLineNumbers w:val="0"/>
              <w:snapToGrid w:val="0"/>
              <w:spacing w:line="240" w:lineRule="auto"/>
              <w:ind w:left="0" w:leftChars="0" w:right="0" w:rightChars="0" w:firstLine="0" w:firstLineChars="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建立从基础机理研究到临床应用的智能外科体系，实现手术操作从人工为主向人机协作的跨越式转变</w:t>
            </w:r>
          </w:p>
        </w:tc>
      </w:tr>
    </w:tbl>
    <w:p w14:paraId="46D87B23">
      <w:pPr>
        <w:keepNext w:val="0"/>
        <w:keepLines w:val="0"/>
        <w:widowControl/>
        <w:suppressLineNumbers w:val="0"/>
      </w:pPr>
    </w:p>
    <w:p w14:paraId="2B1F2DF2">
      <w:pPr>
        <w:pStyle w:val="4"/>
        <w:keepNext w:val="0"/>
        <w:keepLines w:val="0"/>
        <w:widowControl/>
        <w:suppressLineNumbers w:val="0"/>
      </w:pPr>
      <w:r>
        <w:rPr>
          <w:rStyle w:val="134"/>
          <w:b/>
          <w:bCs/>
        </w:rPr>
        <w:t>第五章 存在问题与挑战分析</w:t>
      </w:r>
    </w:p>
    <w:p w14:paraId="5BF39868">
      <w:pPr>
        <w:pStyle w:val="30"/>
        <w:keepNext w:val="0"/>
        <w:keepLines w:val="0"/>
        <w:widowControl/>
        <w:numPr>
          <w:ilvl w:val="0"/>
          <w:numId w:val="14"/>
        </w:numPr>
        <w:suppressLineNumbers w:val="0"/>
        <w:ind w:left="425" w:leftChars="0" w:hanging="425" w:firstLineChars="0"/>
      </w:pPr>
      <w:r>
        <w:rPr>
          <w:rStyle w:val="134"/>
        </w:rPr>
        <w:t>科研经费结构不均衡</w:t>
      </w:r>
      <w:r>
        <w:t>：国家级项目比例</w:t>
      </w:r>
      <w:r>
        <w:rPr>
          <w:rFonts w:hint="eastAsia"/>
          <w:lang w:val="en-US" w:eastAsia="zh-CN"/>
        </w:rPr>
        <w:t>很</w:t>
      </w:r>
      <w:r>
        <w:t>低，医工融合投入不足。</w:t>
      </w:r>
    </w:p>
    <w:p w14:paraId="1A43BE50">
      <w:pPr>
        <w:pStyle w:val="30"/>
        <w:keepNext w:val="0"/>
        <w:keepLines w:val="0"/>
        <w:widowControl/>
        <w:numPr>
          <w:ilvl w:val="0"/>
          <w:numId w:val="14"/>
        </w:numPr>
        <w:suppressLineNumbers w:val="0"/>
        <w:ind w:left="425" w:leftChars="0" w:hanging="425" w:firstLineChars="0"/>
      </w:pPr>
      <w:r>
        <w:rPr>
          <w:rStyle w:val="134"/>
        </w:rPr>
        <w:t>成果转化通道尚不畅</w:t>
      </w:r>
      <w:r>
        <w:t>：装置注册成本高，临床验证平台不足。</w:t>
      </w:r>
    </w:p>
    <w:p w14:paraId="144B0449">
      <w:pPr>
        <w:pStyle w:val="30"/>
        <w:keepNext w:val="0"/>
        <w:keepLines w:val="0"/>
        <w:widowControl/>
        <w:numPr>
          <w:ilvl w:val="0"/>
          <w:numId w:val="14"/>
        </w:numPr>
        <w:suppressLineNumbers w:val="0"/>
        <w:ind w:left="425" w:leftChars="0" w:hanging="425" w:firstLineChars="0"/>
      </w:pPr>
      <w:r>
        <w:rPr>
          <w:rStyle w:val="134"/>
        </w:rPr>
        <w:t>跨学科协作体系待强化</w:t>
      </w:r>
      <w:r>
        <w:t>：工程、材料、AI算法团队需长期固定合作机制。</w:t>
      </w:r>
    </w:p>
    <w:p w14:paraId="3AA04AB2">
      <w:pPr>
        <w:pStyle w:val="30"/>
        <w:keepNext w:val="0"/>
        <w:keepLines w:val="0"/>
        <w:widowControl/>
        <w:numPr>
          <w:ilvl w:val="0"/>
          <w:numId w:val="14"/>
        </w:numPr>
        <w:suppressLineNumbers w:val="0"/>
        <w:ind w:left="425" w:leftChars="0" w:hanging="425" w:firstLineChars="0"/>
      </w:pPr>
      <w:r>
        <w:rPr>
          <w:rStyle w:val="134"/>
        </w:rPr>
        <w:t>科研助理体系与研究生教育尚未完全匹配</w:t>
      </w:r>
      <w:r>
        <w:t>：创新成果培育周期长、成果评估体系待完善。</w:t>
      </w:r>
    </w:p>
    <w:p w14:paraId="5343412A">
      <w:pPr>
        <w:pStyle w:val="4"/>
        <w:keepNext w:val="0"/>
        <w:keepLines w:val="0"/>
        <w:widowControl/>
        <w:suppressLineNumbers w:val="0"/>
      </w:pPr>
      <w:r>
        <w:rPr>
          <w:rStyle w:val="134"/>
          <w:b/>
          <w:bCs/>
        </w:rPr>
        <w:t>第六章 未来十年发展目标与重点任务（2025–2035）</w:t>
      </w:r>
    </w:p>
    <w:p w14:paraId="493C1E24">
      <w:pPr>
        <w:pStyle w:val="5"/>
        <w:keepNext w:val="0"/>
        <w:keepLines w:val="0"/>
        <w:widowControl/>
        <w:suppressLineNumbers w:val="0"/>
      </w:pPr>
      <w:r>
        <w:t>一、总体目标</w:t>
      </w:r>
    </w:p>
    <w:p w14:paraId="61CB52D6">
      <w:pPr>
        <w:pStyle w:val="30"/>
        <w:keepNext w:val="0"/>
        <w:keepLines w:val="0"/>
        <w:widowControl/>
        <w:suppressLineNumbers w:val="0"/>
        <w:ind w:firstLine="480" w:firstLineChars="200"/>
        <w:rPr>
          <w:rFonts w:hint="eastAsia"/>
        </w:rPr>
      </w:pPr>
      <w:r>
        <w:rPr>
          <w:rFonts w:hint="eastAsia"/>
        </w:rPr>
        <w:t>建设成为自治区内微创外科医工融合科研与智能化技术创新的引领型中心科室，形成以“智能微创、精准康复、创新转化、持续再生”为特征的“</w:t>
      </w:r>
      <w:r>
        <w:rPr>
          <w:rFonts w:hint="eastAsia"/>
          <w:b/>
          <w:bCs/>
          <w:color w:val="FF0000"/>
        </w:rPr>
        <w:t>Bayannur Model</w:t>
      </w:r>
      <w:r>
        <w:rPr>
          <w:rFonts w:hint="eastAsia"/>
        </w:rPr>
        <w:t>”科研体系。</w:t>
      </w:r>
    </w:p>
    <w:p w14:paraId="041C9F3C">
      <w:pPr>
        <w:pStyle w:val="30"/>
        <w:keepNext w:val="0"/>
        <w:keepLines w:val="0"/>
        <w:widowControl/>
        <w:suppressLineNumbers w:val="0"/>
        <w:ind w:firstLine="480" w:firstLineChars="200"/>
      </w:pPr>
      <w:r>
        <w:rPr>
          <w:rFonts w:hint="eastAsia"/>
        </w:rPr>
        <w:t>通过整合生物医学、临床研究、医工融合与技术转化的全链条创新体系，实现从科学问题到临床应用、从技术原型到注册转化的系统化跃升。</w:t>
      </w:r>
    </w:p>
    <w:p w14:paraId="204ECA19">
      <w:pPr>
        <w:pStyle w:val="5"/>
        <w:keepNext w:val="0"/>
        <w:keepLines w:val="0"/>
        <w:widowControl/>
        <w:suppressLineNumbers w:val="0"/>
      </w:pPr>
      <w:r>
        <w:t>二、重点任务</w:t>
      </w:r>
    </w:p>
    <w:p w14:paraId="727CA433">
      <w:pPr>
        <w:pStyle w:val="30"/>
        <w:keepNext w:val="0"/>
        <w:keepLines w:val="0"/>
        <w:widowControl/>
        <w:numPr>
          <w:ilvl w:val="0"/>
          <w:numId w:val="0"/>
        </w:numPr>
        <w:suppressLineNumbers w:val="0"/>
        <w:ind w:right="0" w:rightChars="0" w:firstLine="480" w:firstLineChars="200"/>
        <w:rPr>
          <w:rFonts w:hint="eastAsia" w:eastAsia="仿宋"/>
          <w:b w:val="0"/>
          <w:bCs w:val="0"/>
          <w:lang w:eastAsia="zh-CN"/>
        </w:rPr>
      </w:pPr>
      <w:r>
        <w:rPr>
          <w:rFonts w:hint="eastAsia"/>
          <w:b w:val="0"/>
          <w:bCs w:val="0"/>
          <w:lang w:eastAsia="zh-CN"/>
        </w:rPr>
        <w:t>本阶段以“生物医学（机制）—临床研究（问题）—医工融合（方案）—技术转化（应用）—软科学研究（支撑）”为科研主线，构建协同互促的五大方向。</w:t>
      </w:r>
    </w:p>
    <w:p w14:paraId="6C2A32DD">
      <w:pPr>
        <w:pStyle w:val="5"/>
        <w:keepNext w:val="0"/>
        <w:keepLines w:val="0"/>
        <w:widowControl/>
        <w:suppressLineNumbers w:val="0"/>
      </w:pPr>
      <w:r>
        <w:t>（一）研究方向</w:t>
      </w:r>
    </w:p>
    <w:p w14:paraId="29C06E40">
      <w:pPr>
        <w:pStyle w:val="30"/>
        <w:keepNext w:val="0"/>
        <w:keepLines w:val="0"/>
        <w:widowControl/>
        <w:suppressLineNumbers w:val="0"/>
        <w:ind w:firstLine="480" w:firstLineChars="200"/>
        <w:rPr>
          <w:rStyle w:val="134"/>
          <w:rFonts w:hint="eastAsia"/>
          <w:sz w:val="24"/>
          <w:szCs w:val="24"/>
          <w:lang w:val="en-US" w:eastAsia="zh-CN"/>
        </w:rPr>
      </w:pPr>
      <w:r>
        <w:rPr>
          <w:rFonts w:hint="eastAsia" w:ascii="仿宋" w:hAnsi="仿宋" w:eastAsia="仿宋" w:cs="仿宋"/>
          <w:i w:val="0"/>
          <w:iCs w:val="0"/>
          <w:sz w:val="24"/>
          <w:szCs w:val="24"/>
        </w:rPr>
        <w:t>未来十年，胃肠外科科研工作将以“医工融合、智能微创、精准康复、持续转化”为总体方向，构建涵盖基础研究—临床研究—工程研发—技术转化—软科学支撑的全链条科研体系，形成以问题为导向、以转化为目标的系统化科研布局。</w:t>
      </w:r>
    </w:p>
    <w:p w14:paraId="10F40A4F">
      <w:pPr>
        <w:pStyle w:val="30"/>
        <w:keepNext w:val="0"/>
        <w:keepLines w:val="0"/>
        <w:widowControl/>
        <w:suppressLineNumbers w:val="0"/>
        <w:rPr>
          <w:sz w:val="24"/>
          <w:szCs w:val="24"/>
        </w:rPr>
      </w:pPr>
      <w:r>
        <w:rPr>
          <w:rStyle w:val="134"/>
          <w:rFonts w:hint="eastAsia"/>
          <w:sz w:val="24"/>
          <w:szCs w:val="24"/>
          <w:lang w:val="en-US" w:eastAsia="zh-CN"/>
        </w:rPr>
        <w:t xml:space="preserve">1. </w:t>
      </w:r>
      <w:r>
        <w:rPr>
          <w:rStyle w:val="134"/>
          <w:sz w:val="24"/>
          <w:szCs w:val="24"/>
        </w:rPr>
        <w:t>医工融合方向</w:t>
      </w:r>
    </w:p>
    <w:p w14:paraId="5EB23D1E">
      <w:pPr>
        <w:pStyle w:val="30"/>
        <w:keepNext w:val="0"/>
        <w:keepLines w:val="0"/>
        <w:widowControl/>
        <w:suppressLineNumbers w:val="0"/>
        <w:ind w:firstLine="480" w:firstLineChars="200"/>
      </w:pPr>
      <w:r>
        <w:t>以构建智能化腹部外科微创体系为核心，形成“腹腔镜智能手术机器人、机器人化胃肠镜系统、认知型电子病历（C-EMR）平台”三大主线。</w:t>
      </w:r>
    </w:p>
    <w:p w14:paraId="19CDCB73">
      <w:pPr>
        <w:pStyle w:val="30"/>
        <w:keepNext w:val="0"/>
        <w:keepLines w:val="0"/>
        <w:widowControl/>
        <w:suppressLineNumbers w:val="0"/>
      </w:pPr>
      <w:r>
        <w:t>（1）</w:t>
      </w:r>
      <w:r>
        <w:rPr>
          <w:rStyle w:val="134"/>
        </w:rPr>
        <w:t>腹腔镜智能手术机器人方向：</w:t>
      </w:r>
      <w:r>
        <w:t xml:space="preserve"> 聚焦术者直控、视觉随动与多臂协同等关键技术突破，提升稳腔控制、力觉反馈与操作精准度。</w:t>
      </w:r>
      <w:r>
        <w:br w:type="textWrapping"/>
      </w:r>
      <w:r>
        <w:t>（2）</w:t>
      </w:r>
      <w:r>
        <w:rPr>
          <w:rStyle w:val="134"/>
        </w:rPr>
        <w:t>机器人化胃肠镜方向：</w:t>
      </w:r>
      <w:r>
        <w:t xml:space="preserve"> 以柔性机械臂和多模态视觉感知为核心，发展自主导航与复杂操作技术，强化精密控制与安全稳定性能。</w:t>
      </w:r>
      <w:r>
        <w:br w:type="textWrapping"/>
      </w:r>
      <w:r>
        <w:t>（3）</w:t>
      </w:r>
      <w:r>
        <w:rPr>
          <w:rStyle w:val="134"/>
        </w:rPr>
        <w:t>C-EMR平台方向：</w:t>
      </w:r>
      <w:r>
        <w:t xml:space="preserve"> 以大语言模型为智能引擎，构建具备语义理解、知识推理与临床决策支持功能的认知型病历体系，并同步打造 </w:t>
      </w:r>
      <w:r>
        <w:rPr>
          <w:rStyle w:val="134"/>
        </w:rPr>
        <w:t>C-EMR系列智能终端生态（C-EMR Smart Device Ecosystem）</w:t>
      </w:r>
      <w:r>
        <w:t>，实现医务端、患者端与医疗空间的多场景联动。</w:t>
      </w:r>
    </w:p>
    <w:p w14:paraId="0D923A26">
      <w:pPr>
        <w:pStyle w:val="30"/>
        <w:keepNext w:val="0"/>
        <w:keepLines w:val="0"/>
        <w:widowControl/>
        <w:suppressLineNumbers w:val="0"/>
        <w:ind w:firstLine="480" w:firstLineChars="200"/>
        <w:rPr>
          <w:rFonts w:ascii="仿宋" w:hAnsi="仿宋" w:eastAsia="仿宋" w:cs="仿宋"/>
          <w:sz w:val="24"/>
          <w:szCs w:val="24"/>
        </w:rPr>
      </w:pPr>
      <w:r>
        <w:t>同时，围绕微创外科整体智能化布局，探索便携式闭环排便管理装备、围术期可穿戴监测设备、新型腹腔镜器械、患者搬运与护理机器人、智能手术床与无影灯协同控制系统等创新方向，构建“三主线引领、外围创新支撑”的多层次医工融合体系。通过“应用牵引—基础支撑—转化落地”的系统布局，推动外科装备智能化与信息系统认知化，实现从精准操作到智能决策的整体升级。</w:t>
      </w:r>
      <w:bookmarkStart w:id="0" w:name="_GoBack"/>
      <w:bookmarkEnd w:id="0"/>
    </w:p>
    <w:p w14:paraId="76AE7C09">
      <w:pPr>
        <w:keepNext w:val="0"/>
        <w:keepLines w:val="0"/>
        <w:widowControl/>
        <w:suppressLineNumbers w:val="0"/>
        <w:rPr>
          <w:sz w:val="24"/>
          <w:szCs w:val="24"/>
        </w:rPr>
      </w:pPr>
      <w:r>
        <w:rPr>
          <w:rStyle w:val="134"/>
          <w:rFonts w:hint="eastAsia"/>
          <w:sz w:val="24"/>
          <w:szCs w:val="24"/>
          <w:lang w:val="en-US" w:eastAsia="zh-CN"/>
        </w:rPr>
        <w:t xml:space="preserve">2. </w:t>
      </w:r>
      <w:r>
        <w:rPr>
          <w:rStyle w:val="134"/>
          <w:sz w:val="24"/>
          <w:szCs w:val="24"/>
        </w:rPr>
        <w:t>临床研究方向</w:t>
      </w:r>
    </w:p>
    <w:p w14:paraId="01C16453">
      <w:pPr>
        <w:pStyle w:val="30"/>
        <w:keepNext w:val="0"/>
        <w:keepLines w:val="0"/>
        <w:widowControl/>
        <w:suppressLineNumbers w:val="0"/>
        <w:ind w:firstLine="480" w:firstLineChars="200"/>
        <w:rPr>
          <w:sz w:val="24"/>
          <w:szCs w:val="24"/>
        </w:rPr>
      </w:pPr>
      <w:r>
        <w:rPr>
          <w:rFonts w:hint="eastAsia"/>
          <w:sz w:val="24"/>
          <w:szCs w:val="24"/>
        </w:rPr>
        <w:t>以IIT（Investigator-Initiated Trial）规则推动DIDTS体系不断完善和PRI、PoRA-6与PARI等量化模型的融合应用研究，推动基于数据闭环特征的临床问题导向型研究，实现单中心经验到循证研究的系统升级。</w:t>
      </w:r>
    </w:p>
    <w:p w14:paraId="654BDF00">
      <w:pPr>
        <w:pStyle w:val="30"/>
        <w:keepNext w:val="0"/>
        <w:keepLines w:val="0"/>
        <w:widowControl/>
        <w:suppressLineNumbers w:val="0"/>
        <w:rPr>
          <w:sz w:val="24"/>
          <w:szCs w:val="24"/>
        </w:rPr>
      </w:pPr>
      <w:r>
        <w:rPr>
          <w:sz w:val="24"/>
          <w:szCs w:val="24"/>
        </w:rPr>
        <w:t>（1）</w:t>
      </w:r>
      <w:r>
        <w:rPr>
          <w:rStyle w:val="134"/>
          <w:sz w:val="24"/>
          <w:szCs w:val="24"/>
        </w:rPr>
        <w:t>围术期智能评估与风险分级体系</w:t>
      </w:r>
      <w:r>
        <w:rPr>
          <w:rStyle w:val="134"/>
          <w:rFonts w:hint="eastAsia"/>
          <w:sz w:val="24"/>
          <w:szCs w:val="24"/>
          <w:lang w:eastAsia="zh-CN"/>
        </w:rPr>
        <w:t>：</w:t>
      </w:r>
      <w:r>
        <w:rPr>
          <w:rFonts w:hint="eastAsia"/>
          <w:sz w:val="24"/>
          <w:szCs w:val="24"/>
        </w:rPr>
        <w:t>依托PRI（术后康复指数）、PoRA-6（术后风险警戒系统）和PARI（麻醉恢复指数）三大指标体系，建立数据驱动的“监测—评估—干预”闭环模型。不同亚专业聚焦代谢功能恢复、早癌微创、结直肠康复与儿童围术期管理，实现精准、分层化康复评估。</w:t>
      </w:r>
    </w:p>
    <w:p w14:paraId="7B8ED990">
      <w:pPr>
        <w:pStyle w:val="30"/>
        <w:keepNext w:val="0"/>
        <w:keepLines w:val="0"/>
        <w:widowControl/>
        <w:suppressLineNumbers w:val="0"/>
        <w:rPr>
          <w:sz w:val="24"/>
          <w:szCs w:val="24"/>
        </w:rPr>
      </w:pPr>
      <w:r>
        <w:rPr>
          <w:sz w:val="24"/>
          <w:szCs w:val="24"/>
        </w:rPr>
        <w:t>（2）</w:t>
      </w:r>
      <w:r>
        <w:rPr>
          <w:rStyle w:val="134"/>
          <w:sz w:val="24"/>
          <w:szCs w:val="24"/>
        </w:rPr>
        <w:t>临床标准化体系建设</w:t>
      </w:r>
      <w:r>
        <w:rPr>
          <w:rStyle w:val="134"/>
          <w:rFonts w:hint="eastAsia"/>
          <w:sz w:val="24"/>
          <w:szCs w:val="24"/>
          <w:lang w:eastAsia="zh-CN"/>
        </w:rPr>
        <w:t>：</w:t>
      </w:r>
      <w:r>
        <w:rPr>
          <w:rFonts w:hint="eastAsia"/>
          <w:sz w:val="24"/>
          <w:szCs w:val="24"/>
        </w:rPr>
        <w:t>完善SPC-ERAS路径及PRI–PoRA联合评估标准，推进“7镜技术体系”在胃肠、直肠、经肛及腹膜肿瘤等领域的术式标准化与路径优化，形成兼具普适性与亚专业特色的诊疗标准。</w:t>
      </w:r>
    </w:p>
    <w:p w14:paraId="2E9138E2">
      <w:pPr>
        <w:pStyle w:val="30"/>
        <w:keepNext w:val="0"/>
        <w:keepLines w:val="0"/>
        <w:widowControl/>
        <w:suppressLineNumbers w:val="0"/>
        <w:rPr>
          <w:rStyle w:val="134"/>
          <w:rFonts w:hint="eastAsia"/>
          <w:sz w:val="24"/>
          <w:szCs w:val="24"/>
          <w:lang w:eastAsia="zh-CN"/>
        </w:rPr>
      </w:pPr>
      <w:r>
        <w:rPr>
          <w:sz w:val="24"/>
          <w:szCs w:val="24"/>
        </w:rPr>
        <w:t>（3）</w:t>
      </w:r>
      <w:r>
        <w:rPr>
          <w:rStyle w:val="134"/>
          <w:sz w:val="24"/>
          <w:szCs w:val="24"/>
        </w:rPr>
        <w:t>GCP与研究型病房体系建设</w:t>
      </w:r>
      <w:r>
        <w:rPr>
          <w:rStyle w:val="134"/>
          <w:rFonts w:hint="eastAsia"/>
          <w:sz w:val="24"/>
          <w:szCs w:val="24"/>
          <w:lang w:eastAsia="zh-CN"/>
        </w:rPr>
        <w:t>：</w:t>
      </w:r>
    </w:p>
    <w:p w14:paraId="2B0EB3CD">
      <w:pPr>
        <w:pStyle w:val="30"/>
        <w:keepNext w:val="0"/>
        <w:keepLines w:val="0"/>
        <w:widowControl/>
        <w:numPr>
          <w:ilvl w:val="0"/>
          <w:numId w:val="15"/>
        </w:numPr>
        <w:suppressLineNumbers w:val="0"/>
        <w:ind w:left="420" w:leftChars="0" w:hanging="420" w:firstLineChars="0"/>
        <w:rPr>
          <w:sz w:val="24"/>
          <w:szCs w:val="24"/>
        </w:rPr>
      </w:pPr>
      <w:r>
        <w:rPr>
          <w:sz w:val="24"/>
          <w:szCs w:val="24"/>
        </w:rPr>
        <w:t>近中期目标：建设院级GCP基地，形成独立伦理审查与质量监查体系；</w:t>
      </w:r>
    </w:p>
    <w:p w14:paraId="48ED8868">
      <w:pPr>
        <w:pStyle w:val="30"/>
        <w:keepNext w:val="0"/>
        <w:keepLines w:val="0"/>
        <w:widowControl/>
        <w:numPr>
          <w:ilvl w:val="0"/>
          <w:numId w:val="15"/>
        </w:numPr>
        <w:suppressLineNumbers w:val="0"/>
        <w:ind w:left="420" w:leftChars="0" w:hanging="420" w:firstLineChars="0"/>
        <w:rPr>
          <w:sz w:val="24"/>
          <w:szCs w:val="24"/>
        </w:rPr>
      </w:pPr>
      <w:r>
        <w:rPr>
          <w:sz w:val="24"/>
          <w:szCs w:val="24"/>
        </w:rPr>
        <w:t>远期目标：在III类医疗器械临床试验中建立研究型病房应用机制，实现从术式到装置的临床闭环。</w:t>
      </w:r>
    </w:p>
    <w:p w14:paraId="758EBEC2">
      <w:pPr>
        <w:keepNext w:val="0"/>
        <w:keepLines w:val="0"/>
        <w:widowControl/>
        <w:suppressLineNumbers w:val="0"/>
        <w:rPr>
          <w:sz w:val="24"/>
          <w:szCs w:val="24"/>
        </w:rPr>
      </w:pPr>
      <w:r>
        <w:rPr>
          <w:rStyle w:val="134"/>
          <w:rFonts w:hint="eastAsia"/>
          <w:sz w:val="24"/>
          <w:szCs w:val="24"/>
          <w:lang w:val="en-US" w:eastAsia="zh-CN"/>
        </w:rPr>
        <w:t xml:space="preserve">3. </w:t>
      </w:r>
      <w:r>
        <w:rPr>
          <w:rStyle w:val="134"/>
          <w:sz w:val="24"/>
          <w:szCs w:val="24"/>
        </w:rPr>
        <w:t>生物医学方向</w:t>
      </w:r>
      <w:r>
        <w:rPr>
          <w:rStyle w:val="134"/>
          <w:rFonts w:hint="eastAsia"/>
          <w:sz w:val="24"/>
          <w:szCs w:val="24"/>
          <w:lang w:eastAsia="zh-CN"/>
        </w:rPr>
        <w:t>：</w:t>
      </w:r>
      <w:r>
        <w:rPr>
          <w:sz w:val="24"/>
          <w:szCs w:val="24"/>
        </w:rPr>
        <w:t>聚焦胃肠肿瘤免疫微环境与铁稳态机制、消化道微生态与术后康复关系，解析“免疫—微生态—代谢”互作对术后康复的影响，为ERAS与SPC-ERAS路径优化提供机制依据。</w:t>
      </w:r>
    </w:p>
    <w:p w14:paraId="7017B66C">
      <w:pPr>
        <w:keepNext w:val="0"/>
        <w:keepLines w:val="0"/>
        <w:widowControl/>
        <w:numPr>
          <w:ilvl w:val="0"/>
          <w:numId w:val="16"/>
        </w:numPr>
        <w:suppressLineNumbers w:val="0"/>
        <w:rPr>
          <w:sz w:val="24"/>
          <w:szCs w:val="24"/>
        </w:rPr>
      </w:pPr>
      <w:r>
        <w:rPr>
          <w:rStyle w:val="134"/>
          <w:sz w:val="24"/>
          <w:szCs w:val="24"/>
        </w:rPr>
        <w:t>软科学研究方向</w:t>
      </w:r>
      <w:r>
        <w:rPr>
          <w:rStyle w:val="134"/>
          <w:rFonts w:hint="eastAsia"/>
          <w:sz w:val="24"/>
          <w:szCs w:val="24"/>
          <w:lang w:eastAsia="zh-CN"/>
        </w:rPr>
        <w:t>：</w:t>
      </w:r>
      <w:r>
        <w:rPr>
          <w:sz w:val="24"/>
          <w:szCs w:val="24"/>
        </w:rPr>
        <w:t>聚焦DIO（Discipline Input–Output Regeneration Model）模型的构建与验证，建立学科投入—产出—再生的动态反馈体系，实现科研经费、成果与人才的可持续循环，推动科研体系的系统化运行与绩效再生。</w:t>
      </w:r>
    </w:p>
    <w:p w14:paraId="6382C797">
      <w:pPr>
        <w:pStyle w:val="30"/>
        <w:keepNext w:val="0"/>
        <w:keepLines w:val="0"/>
        <w:widowControl/>
        <w:numPr>
          <w:ilvl w:val="0"/>
          <w:numId w:val="16"/>
        </w:numPr>
        <w:suppressLineNumbers w:val="0"/>
        <w:ind w:left="0" w:leftChars="0" w:firstLine="0" w:firstLineChars="0"/>
        <w:rPr>
          <w:b/>
          <w:bCs/>
          <w:sz w:val="24"/>
          <w:szCs w:val="24"/>
        </w:rPr>
      </w:pPr>
      <w:r>
        <w:rPr>
          <w:b/>
          <w:bCs/>
          <w:sz w:val="24"/>
          <w:szCs w:val="24"/>
        </w:rPr>
        <w:t>技术转化</w:t>
      </w:r>
      <w:r>
        <w:rPr>
          <w:rFonts w:hint="eastAsia"/>
          <w:b/>
          <w:bCs/>
          <w:sz w:val="24"/>
          <w:szCs w:val="24"/>
          <w:lang w:eastAsia="zh-CN"/>
        </w:rPr>
        <w:t>：</w:t>
      </w:r>
    </w:p>
    <w:p w14:paraId="34D8C4B0">
      <w:pPr>
        <w:pStyle w:val="30"/>
        <w:keepNext w:val="0"/>
        <w:keepLines w:val="0"/>
        <w:widowControl/>
        <w:numPr>
          <w:ilvl w:val="0"/>
          <w:numId w:val="17"/>
        </w:numPr>
        <w:suppressLineNumbers w:val="0"/>
        <w:ind w:left="425" w:leftChars="0" w:hanging="425" w:firstLineChars="0"/>
        <w:rPr>
          <w:sz w:val="24"/>
          <w:szCs w:val="24"/>
        </w:rPr>
      </w:pPr>
      <w:r>
        <w:rPr>
          <w:sz w:val="24"/>
          <w:szCs w:val="24"/>
        </w:rPr>
        <w:t>装置与软件注册体系建设：建立院内“科研成果注册与评价中心”，完善科研成果从概念验证、产品注册到临床应用的全流程管理体系。重点推进具有自主知识产权的新术式、新装置的合规注册与标准制定，例如完成CETC-SAPC内镜切除装置的注册申报及与术式相适配的标准化指南，落实智能腹腔镜手术机器人系统和智能电子病历软件的平台备案和注册路径。通过健全的注册评价机制，加速科研成果的临床准入和推广应用。</w:t>
      </w:r>
    </w:p>
    <w:p w14:paraId="093220F3">
      <w:pPr>
        <w:pStyle w:val="30"/>
        <w:keepNext w:val="0"/>
        <w:keepLines w:val="0"/>
        <w:widowControl/>
        <w:numPr>
          <w:ilvl w:val="0"/>
          <w:numId w:val="17"/>
        </w:numPr>
        <w:suppressLineNumbers w:val="0"/>
        <w:ind w:left="425" w:leftChars="0" w:hanging="425" w:firstLineChars="0"/>
        <w:rPr>
          <w:sz w:val="24"/>
          <w:szCs w:val="24"/>
        </w:rPr>
      </w:pPr>
      <w:r>
        <w:rPr>
          <w:sz w:val="24"/>
          <w:szCs w:val="24"/>
        </w:rPr>
        <w:t>术式与路径转化推广：针对已经成熟的“7镜协同微创技术体系”和SPC-ERAS标准化路径，制定多中心临床应用规范，形成PRI–PoRA–PARI组合指标的应用标准。通过区域联盟和多中心合作，建立新术式和新技术从院内验证到区域推广的转化机制，扩大科研成果的影响力。</w:t>
      </w:r>
    </w:p>
    <w:p w14:paraId="0CAD81C0">
      <w:pPr>
        <w:pStyle w:val="30"/>
        <w:keepNext w:val="0"/>
        <w:keepLines w:val="0"/>
        <w:widowControl/>
        <w:numPr>
          <w:ilvl w:val="0"/>
          <w:numId w:val="17"/>
        </w:numPr>
        <w:suppressLineNumbers w:val="0"/>
        <w:ind w:left="425" w:leftChars="0" w:hanging="425" w:firstLineChars="0"/>
        <w:rPr>
          <w:sz w:val="24"/>
          <w:szCs w:val="24"/>
        </w:rPr>
      </w:pPr>
      <w:r>
        <w:rPr>
          <w:sz w:val="24"/>
          <w:szCs w:val="24"/>
        </w:rPr>
        <w:t>成果转化与知识产权管理：完善科研成果登记制度和专利转化流程，建立院企协同的联合研发与成果共享机制。通过专利群体打包、技术入股等模式，畅通成果转移转化渠道。健全科研成果收益分配和激励制度，激发科研人员创新积极性。最终实现科研链与产业链的深度融合，提高科研产出的工程化、产业化水平。</w:t>
      </w:r>
    </w:p>
    <w:p w14:paraId="27B379C8">
      <w:pPr>
        <w:pStyle w:val="5"/>
        <w:keepNext w:val="0"/>
        <w:keepLines w:val="0"/>
        <w:widowControl/>
        <w:suppressLineNumbers w:val="0"/>
      </w:pPr>
      <w:r>
        <w:t>（</w:t>
      </w:r>
      <w:r>
        <w:rPr>
          <w:rFonts w:hint="eastAsia" w:eastAsia="宋体"/>
          <w:lang w:val="en-US" w:eastAsia="zh-CN"/>
        </w:rPr>
        <w:t>二</w:t>
      </w:r>
      <w:r>
        <w:t>）教育与人才培养</w:t>
      </w:r>
    </w:p>
    <w:p w14:paraId="6E330DB2">
      <w:pPr>
        <w:pStyle w:val="30"/>
        <w:keepNext w:val="0"/>
        <w:keepLines w:val="0"/>
        <w:widowControl/>
        <w:numPr>
          <w:ilvl w:val="0"/>
          <w:numId w:val="18"/>
        </w:numPr>
        <w:suppressLineNumbers w:val="0"/>
        <w:ind w:left="425" w:leftChars="0" w:hanging="425" w:firstLineChars="0"/>
      </w:pPr>
      <w:r>
        <w:rPr>
          <w:rStyle w:val="134"/>
        </w:rPr>
        <w:t>研究生科研能力培养体系</w:t>
      </w:r>
      <w:r>
        <w:rPr>
          <w:rStyle w:val="134"/>
          <w:rFonts w:hint="eastAsia"/>
          <w:lang w:eastAsia="zh-CN"/>
        </w:rPr>
        <w:t>：</w:t>
      </w:r>
      <w:r>
        <w:t>依托医工融合实验室与研究型病房，构建临床—科研—工程一体化培养体系。实施“导师—工程师双导师制”，促进医学与工程学交叉融合。</w:t>
      </w:r>
    </w:p>
    <w:p w14:paraId="61B978FF">
      <w:pPr>
        <w:pStyle w:val="30"/>
        <w:keepNext w:val="0"/>
        <w:keepLines w:val="0"/>
        <w:widowControl/>
        <w:numPr>
          <w:ilvl w:val="0"/>
          <w:numId w:val="18"/>
        </w:numPr>
        <w:suppressLineNumbers w:val="0"/>
        <w:ind w:left="425" w:leftChars="0" w:hanging="425" w:firstLineChars="0"/>
      </w:pPr>
      <w:r>
        <w:rPr>
          <w:rStyle w:val="134"/>
        </w:rPr>
        <w:t>青年骨干与科研助理培养机制</w:t>
      </w:r>
      <w:r>
        <w:rPr>
          <w:rStyle w:val="134"/>
          <w:rFonts w:hint="eastAsia"/>
          <w:lang w:eastAsia="zh-CN"/>
        </w:rPr>
        <w:t>：</w:t>
      </w:r>
      <w:r>
        <w:t>建立科研助理岗位体系，推动青年医师在科研项目中实现课题主导与独立申报，形成梯次接续的科研队伍结构。</w:t>
      </w:r>
    </w:p>
    <w:p w14:paraId="57D90C6F">
      <w:pPr>
        <w:pStyle w:val="30"/>
        <w:keepNext w:val="0"/>
        <w:keepLines w:val="0"/>
        <w:widowControl/>
        <w:numPr>
          <w:ilvl w:val="0"/>
          <w:numId w:val="18"/>
        </w:numPr>
        <w:suppressLineNumbers w:val="0"/>
        <w:ind w:left="425" w:leftChars="0" w:hanging="425" w:firstLineChars="0"/>
      </w:pPr>
      <w:r>
        <w:rPr>
          <w:rStyle w:val="134"/>
        </w:rPr>
        <w:t>教学创新与实践导向</w:t>
      </w:r>
      <w:r>
        <w:rPr>
          <w:rStyle w:val="134"/>
          <w:rFonts w:hint="eastAsia"/>
          <w:lang w:eastAsia="zh-CN"/>
        </w:rPr>
        <w:t>：</w:t>
      </w:r>
      <w:r>
        <w:t>推广GOPDT（目标导向、实践驱动、分层适应）教学模式，以课题研究与实践任务为核心，强化研究生科研思维与创新能力培养。</w:t>
      </w:r>
    </w:p>
    <w:p w14:paraId="24170249">
      <w:pPr>
        <w:pStyle w:val="5"/>
        <w:bidi w:val="0"/>
      </w:pPr>
      <w:r>
        <w:rPr>
          <w:rFonts w:hint="eastAsia"/>
          <w:lang w:val="en-US" w:eastAsia="zh-CN"/>
        </w:rPr>
        <w:t>（三）量化指标</w:t>
      </w:r>
    </w:p>
    <w:tbl>
      <w:tblPr>
        <w:tblStyle w:val="33"/>
        <w:tblW w:w="8800" w:type="dxa"/>
        <w:jc w:val="center"/>
        <w:tblBorders>
          <w:top w:val="single" w:color="A3A3A3" w:sz="8" w:space="0"/>
          <w:left w:val="single" w:color="A3A3A3" w:sz="8" w:space="0"/>
          <w:bottom w:val="single" w:color="A3A3A3" w:sz="8" w:space="0"/>
          <w:right w:val="single" w:color="A3A3A3" w:sz="8"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2976"/>
        <w:gridCol w:w="2912"/>
        <w:gridCol w:w="2912"/>
      </w:tblGrid>
      <w:tr w14:paraId="06E2A6DA">
        <w:tblPrEx>
          <w:tblBorders>
            <w:top w:val="single" w:color="A3A3A3" w:sz="8" w:space="0"/>
            <w:left w:val="single" w:color="A3A3A3" w:sz="8" w:space="0"/>
            <w:bottom w:val="single" w:color="A3A3A3" w:sz="8" w:space="0"/>
            <w:right w:val="single" w:color="A3A3A3" w:sz="8" w:space="0"/>
            <w:insideH w:val="outset" w:color="auto" w:sz="6" w:space="0"/>
            <w:insideV w:val="outset" w:color="auto" w:sz="6" w:space="0"/>
          </w:tblBorders>
          <w:tblCellMar>
            <w:top w:w="0" w:type="dxa"/>
            <w:left w:w="0" w:type="dxa"/>
            <w:bottom w:w="0" w:type="dxa"/>
            <w:right w:w="0" w:type="dxa"/>
          </w:tblCellMar>
        </w:tblPrEx>
        <w:trPr>
          <w:trHeight w:val="0" w:hRule="atLeast"/>
          <w:jc w:val="center"/>
        </w:trPr>
        <w:tc>
          <w:tcPr>
            <w:tcW w:w="2976"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051BD246">
            <w:pPr>
              <w:pStyle w:val="30"/>
              <w:keepNext w:val="0"/>
              <w:keepLines w:val="0"/>
              <w:widowControl/>
              <w:suppressLineNumbers w:val="0"/>
              <w:snapToGrid w:val="0"/>
              <w:spacing w:before="0" w:beforeAutospacing="0" w:after="200" w:afterAutospacing="0"/>
              <w:jc w:val="center"/>
              <w:rPr>
                <w:rFonts w:hint="eastAsia" w:ascii="仿宋" w:hAnsi="仿宋" w:eastAsia="仿宋" w:cs="仿宋"/>
                <w:b/>
                <w:sz w:val="24"/>
                <w:szCs w:val="24"/>
              </w:rPr>
            </w:pPr>
            <w:r>
              <w:rPr>
                <w:rFonts w:hint="eastAsia" w:ascii="仿宋" w:hAnsi="仿宋" w:eastAsia="仿宋" w:cs="仿宋"/>
                <w:b/>
                <w:bCs/>
                <w:sz w:val="24"/>
                <w:szCs w:val="24"/>
              </w:rPr>
              <w:t>指标类别</w:t>
            </w:r>
          </w:p>
        </w:tc>
        <w:tc>
          <w:tcPr>
            <w:tcW w:w="2912"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37AAF22D">
            <w:pPr>
              <w:pStyle w:val="30"/>
              <w:keepNext w:val="0"/>
              <w:keepLines w:val="0"/>
              <w:widowControl/>
              <w:suppressLineNumbers w:val="0"/>
              <w:snapToGrid w:val="0"/>
              <w:spacing w:before="0" w:beforeAutospacing="0" w:after="200" w:afterAutospacing="0"/>
              <w:jc w:val="left"/>
              <w:rPr>
                <w:rFonts w:hint="eastAsia" w:ascii="仿宋" w:hAnsi="仿宋" w:eastAsia="仿宋" w:cs="仿宋"/>
                <w:sz w:val="21"/>
                <w:szCs w:val="24"/>
              </w:rPr>
            </w:pPr>
            <w:r>
              <w:rPr>
                <w:rFonts w:hint="eastAsia" w:ascii="仿宋" w:hAnsi="仿宋" w:eastAsia="仿宋" w:cs="仿宋"/>
                <w:b/>
                <w:bCs/>
                <w:sz w:val="21"/>
                <w:szCs w:val="24"/>
              </w:rPr>
              <w:t>2025–2030目标</w:t>
            </w:r>
          </w:p>
        </w:tc>
        <w:tc>
          <w:tcPr>
            <w:tcW w:w="2912"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50DC1D50">
            <w:pPr>
              <w:pStyle w:val="30"/>
              <w:keepNext w:val="0"/>
              <w:keepLines w:val="0"/>
              <w:widowControl/>
              <w:suppressLineNumbers w:val="0"/>
              <w:snapToGrid w:val="0"/>
              <w:spacing w:before="0" w:beforeAutospacing="0" w:after="200" w:afterAutospacing="0"/>
              <w:jc w:val="left"/>
              <w:rPr>
                <w:rFonts w:hint="eastAsia" w:ascii="仿宋" w:hAnsi="仿宋" w:eastAsia="仿宋" w:cs="仿宋"/>
                <w:sz w:val="21"/>
                <w:szCs w:val="24"/>
              </w:rPr>
            </w:pPr>
            <w:r>
              <w:rPr>
                <w:rFonts w:hint="eastAsia" w:ascii="仿宋" w:hAnsi="仿宋" w:eastAsia="仿宋" w:cs="仿宋"/>
                <w:b/>
                <w:bCs/>
                <w:sz w:val="21"/>
                <w:szCs w:val="24"/>
              </w:rPr>
              <w:t>2031–2035目标</w:t>
            </w:r>
          </w:p>
        </w:tc>
      </w:tr>
      <w:tr w14:paraId="0ADF4E8E">
        <w:tblPrEx>
          <w:tblBorders>
            <w:top w:val="single" w:color="A3A3A3" w:sz="8" w:space="0"/>
            <w:left w:val="single" w:color="A3A3A3" w:sz="8" w:space="0"/>
            <w:bottom w:val="single" w:color="A3A3A3" w:sz="8" w:space="0"/>
            <w:right w:val="single" w:color="A3A3A3" w:sz="8" w:space="0"/>
            <w:insideH w:val="outset" w:color="auto" w:sz="6" w:space="0"/>
            <w:insideV w:val="outset" w:color="auto" w:sz="6" w:space="0"/>
          </w:tblBorders>
          <w:tblCellMar>
            <w:top w:w="0" w:type="dxa"/>
            <w:left w:w="0" w:type="dxa"/>
            <w:bottom w:w="0" w:type="dxa"/>
            <w:right w:w="0" w:type="dxa"/>
          </w:tblCellMar>
        </w:tblPrEx>
        <w:trPr>
          <w:trHeight w:val="0" w:hRule="atLeast"/>
          <w:jc w:val="center"/>
        </w:trPr>
        <w:tc>
          <w:tcPr>
            <w:tcW w:w="2976"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3BC0E814">
            <w:pPr>
              <w:pStyle w:val="30"/>
              <w:keepNext w:val="0"/>
              <w:keepLines w:val="0"/>
              <w:widowControl/>
              <w:suppressLineNumbers w:val="0"/>
              <w:snapToGrid w:val="0"/>
              <w:spacing w:before="0" w:beforeAutospacing="0" w:after="200" w:afterAutospacing="0"/>
              <w:jc w:val="both"/>
              <w:rPr>
                <w:rFonts w:hint="eastAsia" w:ascii="仿宋" w:hAnsi="仿宋" w:eastAsia="仿宋" w:cs="仿宋"/>
                <w:b/>
                <w:sz w:val="21"/>
                <w:szCs w:val="21"/>
              </w:rPr>
            </w:pPr>
            <w:r>
              <w:rPr>
                <w:rFonts w:hint="eastAsia" w:ascii="仿宋" w:hAnsi="仿宋" w:eastAsia="仿宋" w:cs="仿宋"/>
                <w:b/>
                <w:bCs/>
                <w:sz w:val="21"/>
                <w:szCs w:val="21"/>
              </w:rPr>
              <w:t>国家级项目数</w:t>
            </w:r>
          </w:p>
        </w:tc>
        <w:tc>
          <w:tcPr>
            <w:tcW w:w="2912"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23CAC580">
            <w:pPr>
              <w:pStyle w:val="30"/>
              <w:keepNext w:val="0"/>
              <w:keepLines w:val="0"/>
              <w:widowControl/>
              <w:suppressLineNumbers w:val="0"/>
              <w:snapToGrid w:val="0"/>
              <w:spacing w:before="0" w:beforeAutospacing="0" w:after="200" w:afterAutospacing="0"/>
              <w:jc w:val="left"/>
              <w:rPr>
                <w:rFonts w:hint="eastAsia" w:ascii="仿宋" w:hAnsi="仿宋" w:eastAsia="仿宋" w:cs="仿宋"/>
                <w:sz w:val="21"/>
                <w:szCs w:val="21"/>
              </w:rPr>
            </w:pPr>
            <w:r>
              <w:rPr>
                <w:rFonts w:hint="eastAsia" w:ascii="仿宋" w:hAnsi="仿宋" w:eastAsia="仿宋" w:cs="仿宋"/>
                <w:sz w:val="21"/>
                <w:szCs w:val="21"/>
              </w:rPr>
              <w:t>≥</w:t>
            </w:r>
            <w:r>
              <w:rPr>
                <w:rFonts w:hint="eastAsia" w:cs="仿宋"/>
                <w:sz w:val="21"/>
                <w:szCs w:val="21"/>
                <w:lang w:val="en-US" w:eastAsia="zh-CN"/>
              </w:rPr>
              <w:t>1</w:t>
            </w:r>
            <w:r>
              <w:rPr>
                <w:rFonts w:hint="eastAsia" w:ascii="仿宋" w:hAnsi="仿宋" w:eastAsia="仿宋" w:cs="仿宋"/>
                <w:sz w:val="21"/>
                <w:szCs w:val="21"/>
              </w:rPr>
              <w:t>项</w:t>
            </w:r>
          </w:p>
        </w:tc>
        <w:tc>
          <w:tcPr>
            <w:tcW w:w="2912"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0ABD00AF">
            <w:pPr>
              <w:pStyle w:val="30"/>
              <w:keepNext w:val="0"/>
              <w:keepLines w:val="0"/>
              <w:widowControl/>
              <w:suppressLineNumbers w:val="0"/>
              <w:snapToGrid w:val="0"/>
              <w:spacing w:before="0" w:beforeAutospacing="0" w:after="200" w:afterAutospacing="0"/>
              <w:jc w:val="left"/>
              <w:rPr>
                <w:rFonts w:hint="eastAsia" w:ascii="仿宋" w:hAnsi="仿宋" w:eastAsia="仿宋" w:cs="仿宋"/>
                <w:sz w:val="21"/>
                <w:szCs w:val="21"/>
              </w:rPr>
            </w:pPr>
            <w:r>
              <w:rPr>
                <w:rFonts w:hint="eastAsia" w:ascii="仿宋" w:hAnsi="仿宋" w:eastAsia="仿宋" w:cs="仿宋"/>
                <w:sz w:val="21"/>
                <w:szCs w:val="21"/>
              </w:rPr>
              <w:t>≥</w:t>
            </w:r>
            <w:r>
              <w:rPr>
                <w:rFonts w:hint="eastAsia" w:cs="仿宋"/>
                <w:sz w:val="21"/>
                <w:szCs w:val="21"/>
                <w:lang w:val="en-US" w:eastAsia="zh-CN"/>
              </w:rPr>
              <w:t>3</w:t>
            </w:r>
            <w:r>
              <w:rPr>
                <w:rFonts w:hint="eastAsia" w:ascii="仿宋" w:hAnsi="仿宋" w:eastAsia="仿宋" w:cs="仿宋"/>
                <w:sz w:val="21"/>
                <w:szCs w:val="21"/>
              </w:rPr>
              <w:t>项</w:t>
            </w:r>
          </w:p>
        </w:tc>
      </w:tr>
      <w:tr w14:paraId="382EAE9C">
        <w:tblPrEx>
          <w:tblBorders>
            <w:top w:val="single" w:color="A3A3A3" w:sz="8" w:space="0"/>
            <w:left w:val="single" w:color="A3A3A3" w:sz="8" w:space="0"/>
            <w:bottom w:val="single" w:color="A3A3A3" w:sz="8" w:space="0"/>
            <w:right w:val="single" w:color="A3A3A3" w:sz="8" w:space="0"/>
            <w:insideH w:val="outset" w:color="auto" w:sz="6" w:space="0"/>
            <w:insideV w:val="outset" w:color="auto" w:sz="6" w:space="0"/>
          </w:tblBorders>
          <w:tblCellMar>
            <w:top w:w="0" w:type="dxa"/>
            <w:left w:w="0" w:type="dxa"/>
            <w:bottom w:w="0" w:type="dxa"/>
            <w:right w:w="0" w:type="dxa"/>
          </w:tblCellMar>
        </w:tblPrEx>
        <w:trPr>
          <w:trHeight w:val="0" w:hRule="atLeast"/>
          <w:jc w:val="center"/>
        </w:trPr>
        <w:tc>
          <w:tcPr>
            <w:tcW w:w="2976"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62574691">
            <w:pPr>
              <w:pStyle w:val="30"/>
              <w:keepNext w:val="0"/>
              <w:keepLines w:val="0"/>
              <w:widowControl/>
              <w:suppressLineNumbers w:val="0"/>
              <w:snapToGrid w:val="0"/>
              <w:spacing w:before="0" w:beforeAutospacing="0" w:after="200" w:afterAutospacing="0"/>
              <w:jc w:val="both"/>
              <w:rPr>
                <w:rFonts w:hint="eastAsia" w:ascii="仿宋" w:hAnsi="仿宋" w:eastAsia="仿宋" w:cs="仿宋"/>
                <w:b/>
                <w:sz w:val="21"/>
                <w:szCs w:val="21"/>
              </w:rPr>
            </w:pPr>
            <w:r>
              <w:rPr>
                <w:rFonts w:hint="eastAsia" w:ascii="仿宋" w:hAnsi="仿宋" w:eastAsia="仿宋" w:cs="仿宋"/>
                <w:b/>
                <w:bCs/>
                <w:sz w:val="21"/>
                <w:szCs w:val="21"/>
              </w:rPr>
              <w:t>SCI论文（IF&gt;5）</w:t>
            </w:r>
          </w:p>
        </w:tc>
        <w:tc>
          <w:tcPr>
            <w:tcW w:w="2912"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2B9B32E8">
            <w:pPr>
              <w:pStyle w:val="30"/>
              <w:keepNext w:val="0"/>
              <w:keepLines w:val="0"/>
              <w:widowControl/>
              <w:suppressLineNumbers w:val="0"/>
              <w:snapToGrid w:val="0"/>
              <w:spacing w:before="0" w:beforeAutospacing="0" w:after="200" w:afterAutospacing="0"/>
              <w:jc w:val="left"/>
              <w:rPr>
                <w:rFonts w:hint="eastAsia" w:ascii="仿宋" w:hAnsi="仿宋" w:eastAsia="仿宋" w:cs="仿宋"/>
                <w:sz w:val="21"/>
                <w:szCs w:val="21"/>
              </w:rPr>
            </w:pPr>
            <w:r>
              <w:rPr>
                <w:rFonts w:hint="eastAsia" w:ascii="仿宋" w:hAnsi="仿宋" w:eastAsia="仿宋" w:cs="仿宋"/>
                <w:sz w:val="21"/>
                <w:szCs w:val="21"/>
              </w:rPr>
              <w:t>≥</w:t>
            </w:r>
            <w:r>
              <w:rPr>
                <w:rFonts w:hint="eastAsia" w:cs="仿宋"/>
                <w:sz w:val="21"/>
                <w:szCs w:val="21"/>
                <w:lang w:val="en-US" w:eastAsia="zh-CN"/>
              </w:rPr>
              <w:t>10</w:t>
            </w:r>
            <w:r>
              <w:rPr>
                <w:rFonts w:hint="eastAsia" w:ascii="仿宋" w:hAnsi="仿宋" w:eastAsia="仿宋" w:cs="仿宋"/>
                <w:sz w:val="21"/>
                <w:szCs w:val="21"/>
              </w:rPr>
              <w:t>篇</w:t>
            </w:r>
          </w:p>
        </w:tc>
        <w:tc>
          <w:tcPr>
            <w:tcW w:w="2912"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4BE9144F">
            <w:pPr>
              <w:pStyle w:val="30"/>
              <w:keepNext w:val="0"/>
              <w:keepLines w:val="0"/>
              <w:widowControl/>
              <w:suppressLineNumbers w:val="0"/>
              <w:snapToGrid w:val="0"/>
              <w:spacing w:before="0" w:beforeAutospacing="0" w:after="200" w:afterAutospacing="0"/>
              <w:jc w:val="left"/>
              <w:rPr>
                <w:rFonts w:hint="eastAsia" w:ascii="仿宋" w:hAnsi="仿宋" w:eastAsia="仿宋" w:cs="仿宋"/>
                <w:sz w:val="21"/>
                <w:szCs w:val="21"/>
              </w:rPr>
            </w:pPr>
            <w:r>
              <w:rPr>
                <w:rFonts w:hint="eastAsia" w:ascii="仿宋" w:hAnsi="仿宋" w:eastAsia="仿宋" w:cs="仿宋"/>
                <w:sz w:val="21"/>
                <w:szCs w:val="21"/>
              </w:rPr>
              <w:t>≥35篇</w:t>
            </w:r>
          </w:p>
        </w:tc>
      </w:tr>
      <w:tr w14:paraId="1004C430">
        <w:tblPrEx>
          <w:tblBorders>
            <w:top w:val="single" w:color="A3A3A3" w:sz="8" w:space="0"/>
            <w:left w:val="single" w:color="A3A3A3" w:sz="8" w:space="0"/>
            <w:bottom w:val="single" w:color="A3A3A3" w:sz="8" w:space="0"/>
            <w:right w:val="single" w:color="A3A3A3" w:sz="8" w:space="0"/>
            <w:insideH w:val="outset" w:color="auto" w:sz="6" w:space="0"/>
            <w:insideV w:val="outset" w:color="auto" w:sz="6" w:space="0"/>
          </w:tblBorders>
          <w:tblCellMar>
            <w:top w:w="0" w:type="dxa"/>
            <w:left w:w="0" w:type="dxa"/>
            <w:bottom w:w="0" w:type="dxa"/>
            <w:right w:w="0" w:type="dxa"/>
          </w:tblCellMar>
        </w:tblPrEx>
        <w:trPr>
          <w:trHeight w:val="0" w:hRule="atLeast"/>
          <w:jc w:val="center"/>
        </w:trPr>
        <w:tc>
          <w:tcPr>
            <w:tcW w:w="2976"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0833717B">
            <w:pPr>
              <w:pStyle w:val="30"/>
              <w:keepNext w:val="0"/>
              <w:keepLines w:val="0"/>
              <w:widowControl/>
              <w:suppressLineNumbers w:val="0"/>
              <w:snapToGrid w:val="0"/>
              <w:spacing w:before="0" w:beforeAutospacing="0" w:after="200" w:afterAutospacing="0"/>
              <w:jc w:val="both"/>
              <w:rPr>
                <w:rFonts w:hint="eastAsia" w:ascii="仿宋" w:hAnsi="仿宋" w:eastAsia="仿宋" w:cs="仿宋"/>
                <w:b/>
                <w:sz w:val="21"/>
                <w:szCs w:val="21"/>
              </w:rPr>
            </w:pPr>
            <w:r>
              <w:rPr>
                <w:rFonts w:hint="eastAsia" w:ascii="仿宋" w:hAnsi="仿宋" w:eastAsia="仿宋" w:cs="仿宋"/>
                <w:b/>
                <w:bCs/>
                <w:sz w:val="21"/>
                <w:szCs w:val="21"/>
              </w:rPr>
              <w:t>授权专利</w:t>
            </w:r>
          </w:p>
        </w:tc>
        <w:tc>
          <w:tcPr>
            <w:tcW w:w="2912"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309882EF">
            <w:pPr>
              <w:pStyle w:val="30"/>
              <w:keepNext w:val="0"/>
              <w:keepLines w:val="0"/>
              <w:widowControl/>
              <w:suppressLineNumbers w:val="0"/>
              <w:snapToGrid w:val="0"/>
              <w:spacing w:before="0" w:beforeAutospacing="0" w:after="200" w:afterAutospacing="0"/>
              <w:jc w:val="left"/>
              <w:rPr>
                <w:rFonts w:hint="eastAsia" w:ascii="仿宋" w:hAnsi="仿宋" w:eastAsia="仿宋" w:cs="仿宋"/>
                <w:sz w:val="21"/>
                <w:szCs w:val="21"/>
              </w:rPr>
            </w:pPr>
            <w:r>
              <w:rPr>
                <w:rFonts w:hint="eastAsia" w:ascii="仿宋" w:hAnsi="仿宋" w:eastAsia="仿宋" w:cs="仿宋"/>
                <w:sz w:val="21"/>
                <w:szCs w:val="21"/>
              </w:rPr>
              <w:t>≥</w:t>
            </w:r>
            <w:r>
              <w:rPr>
                <w:rFonts w:hint="eastAsia" w:cs="仿宋"/>
                <w:sz w:val="21"/>
                <w:szCs w:val="21"/>
                <w:lang w:val="en-US" w:eastAsia="zh-CN"/>
              </w:rPr>
              <w:t>10</w:t>
            </w:r>
            <w:r>
              <w:rPr>
                <w:rFonts w:hint="eastAsia" w:ascii="仿宋" w:hAnsi="仿宋" w:eastAsia="仿宋" w:cs="仿宋"/>
                <w:sz w:val="21"/>
                <w:szCs w:val="21"/>
              </w:rPr>
              <w:t>件</w:t>
            </w:r>
          </w:p>
        </w:tc>
        <w:tc>
          <w:tcPr>
            <w:tcW w:w="2912"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623FA82E">
            <w:pPr>
              <w:pStyle w:val="30"/>
              <w:keepNext w:val="0"/>
              <w:keepLines w:val="0"/>
              <w:widowControl/>
              <w:suppressLineNumbers w:val="0"/>
              <w:snapToGrid w:val="0"/>
              <w:spacing w:before="0" w:beforeAutospacing="0" w:after="200" w:afterAutospacing="0"/>
              <w:jc w:val="left"/>
              <w:rPr>
                <w:rFonts w:hint="eastAsia" w:ascii="仿宋" w:hAnsi="仿宋" w:eastAsia="仿宋" w:cs="仿宋"/>
                <w:sz w:val="21"/>
                <w:szCs w:val="21"/>
              </w:rPr>
            </w:pPr>
            <w:r>
              <w:rPr>
                <w:rFonts w:hint="eastAsia" w:ascii="仿宋" w:hAnsi="仿宋" w:eastAsia="仿宋" w:cs="仿宋"/>
                <w:sz w:val="21"/>
                <w:szCs w:val="21"/>
              </w:rPr>
              <w:t>≥30件</w:t>
            </w:r>
          </w:p>
        </w:tc>
      </w:tr>
      <w:tr w14:paraId="440645E2">
        <w:tblPrEx>
          <w:tblBorders>
            <w:top w:val="single" w:color="A3A3A3" w:sz="8" w:space="0"/>
            <w:left w:val="single" w:color="A3A3A3" w:sz="8" w:space="0"/>
            <w:bottom w:val="single" w:color="A3A3A3" w:sz="8" w:space="0"/>
            <w:right w:val="single" w:color="A3A3A3" w:sz="8" w:space="0"/>
            <w:insideH w:val="outset" w:color="auto" w:sz="6" w:space="0"/>
            <w:insideV w:val="outset" w:color="auto" w:sz="6" w:space="0"/>
          </w:tblBorders>
          <w:tblCellMar>
            <w:top w:w="0" w:type="dxa"/>
            <w:left w:w="0" w:type="dxa"/>
            <w:bottom w:w="0" w:type="dxa"/>
            <w:right w:w="0" w:type="dxa"/>
          </w:tblCellMar>
        </w:tblPrEx>
        <w:trPr>
          <w:trHeight w:val="0" w:hRule="atLeast"/>
          <w:jc w:val="center"/>
        </w:trPr>
        <w:tc>
          <w:tcPr>
            <w:tcW w:w="2976"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4C14771C">
            <w:pPr>
              <w:pStyle w:val="30"/>
              <w:keepNext w:val="0"/>
              <w:keepLines w:val="0"/>
              <w:widowControl/>
              <w:suppressLineNumbers w:val="0"/>
              <w:snapToGrid w:val="0"/>
              <w:spacing w:before="0" w:beforeAutospacing="0" w:after="200" w:afterAutospacing="0"/>
              <w:jc w:val="both"/>
              <w:rPr>
                <w:rFonts w:hint="eastAsia" w:ascii="仿宋" w:hAnsi="仿宋" w:eastAsia="仿宋" w:cs="仿宋"/>
                <w:b/>
                <w:sz w:val="21"/>
                <w:szCs w:val="21"/>
              </w:rPr>
            </w:pPr>
            <w:r>
              <w:rPr>
                <w:rFonts w:hint="eastAsia" w:ascii="仿宋" w:hAnsi="仿宋" w:eastAsia="仿宋" w:cs="仿宋"/>
                <w:b/>
                <w:bCs/>
                <w:sz w:val="21"/>
                <w:szCs w:val="21"/>
              </w:rPr>
              <w:t>注册产品/转化协议</w:t>
            </w:r>
          </w:p>
        </w:tc>
        <w:tc>
          <w:tcPr>
            <w:tcW w:w="2912"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00F27C7B">
            <w:pPr>
              <w:pStyle w:val="30"/>
              <w:keepNext w:val="0"/>
              <w:keepLines w:val="0"/>
              <w:widowControl/>
              <w:suppressLineNumbers w:val="0"/>
              <w:snapToGrid w:val="0"/>
              <w:spacing w:before="0" w:beforeAutospacing="0" w:after="200" w:afterAutospacing="0"/>
              <w:jc w:val="left"/>
              <w:rPr>
                <w:rFonts w:hint="eastAsia" w:ascii="仿宋" w:hAnsi="仿宋" w:eastAsia="仿宋" w:cs="仿宋"/>
                <w:sz w:val="21"/>
                <w:szCs w:val="21"/>
              </w:rPr>
            </w:pPr>
            <w:r>
              <w:rPr>
                <w:rFonts w:hint="eastAsia" w:ascii="仿宋" w:hAnsi="仿宋" w:eastAsia="仿宋" w:cs="仿宋"/>
                <w:sz w:val="21"/>
                <w:szCs w:val="21"/>
              </w:rPr>
              <w:t>≥2项</w:t>
            </w:r>
          </w:p>
        </w:tc>
        <w:tc>
          <w:tcPr>
            <w:tcW w:w="2912"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6C3A2960">
            <w:pPr>
              <w:pStyle w:val="30"/>
              <w:keepNext w:val="0"/>
              <w:keepLines w:val="0"/>
              <w:widowControl/>
              <w:suppressLineNumbers w:val="0"/>
              <w:snapToGrid w:val="0"/>
              <w:spacing w:before="0" w:beforeAutospacing="0" w:after="200" w:afterAutospacing="0"/>
              <w:jc w:val="left"/>
              <w:rPr>
                <w:rFonts w:hint="eastAsia" w:ascii="仿宋" w:hAnsi="仿宋" w:eastAsia="仿宋" w:cs="仿宋"/>
                <w:sz w:val="21"/>
                <w:szCs w:val="21"/>
              </w:rPr>
            </w:pPr>
            <w:r>
              <w:rPr>
                <w:rFonts w:hint="eastAsia" w:ascii="仿宋" w:hAnsi="仿宋" w:eastAsia="仿宋" w:cs="仿宋"/>
                <w:sz w:val="21"/>
                <w:szCs w:val="21"/>
              </w:rPr>
              <w:t>≥5项</w:t>
            </w:r>
          </w:p>
        </w:tc>
      </w:tr>
      <w:tr w14:paraId="7289CE78">
        <w:tblPrEx>
          <w:tblBorders>
            <w:top w:val="single" w:color="A3A3A3" w:sz="8" w:space="0"/>
            <w:left w:val="single" w:color="A3A3A3" w:sz="8" w:space="0"/>
            <w:bottom w:val="single" w:color="A3A3A3" w:sz="8" w:space="0"/>
            <w:right w:val="single" w:color="A3A3A3" w:sz="8" w:space="0"/>
            <w:insideH w:val="outset" w:color="auto" w:sz="6" w:space="0"/>
            <w:insideV w:val="outset" w:color="auto" w:sz="6" w:space="0"/>
          </w:tblBorders>
          <w:tblCellMar>
            <w:top w:w="0" w:type="dxa"/>
            <w:left w:w="0" w:type="dxa"/>
            <w:bottom w:w="0" w:type="dxa"/>
            <w:right w:w="0" w:type="dxa"/>
          </w:tblCellMar>
        </w:tblPrEx>
        <w:trPr>
          <w:trHeight w:val="0" w:hRule="atLeast"/>
          <w:jc w:val="center"/>
        </w:trPr>
        <w:tc>
          <w:tcPr>
            <w:tcW w:w="2976"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73B6E89F">
            <w:pPr>
              <w:pStyle w:val="30"/>
              <w:keepNext w:val="0"/>
              <w:keepLines w:val="0"/>
              <w:widowControl/>
              <w:suppressLineNumbers w:val="0"/>
              <w:snapToGrid w:val="0"/>
              <w:spacing w:before="0" w:beforeAutospacing="0" w:after="200" w:afterAutospacing="0"/>
              <w:jc w:val="both"/>
              <w:rPr>
                <w:rFonts w:hint="eastAsia" w:ascii="仿宋" w:hAnsi="仿宋" w:eastAsia="仿宋" w:cs="仿宋"/>
                <w:b/>
                <w:sz w:val="21"/>
                <w:szCs w:val="21"/>
              </w:rPr>
            </w:pPr>
            <w:r>
              <w:rPr>
                <w:rFonts w:hint="eastAsia" w:ascii="仿宋" w:hAnsi="仿宋" w:eastAsia="仿宋" w:cs="仿宋"/>
                <w:b/>
                <w:bCs/>
                <w:sz w:val="21"/>
                <w:szCs w:val="21"/>
              </w:rPr>
              <w:t>博硕士培养</w:t>
            </w:r>
          </w:p>
        </w:tc>
        <w:tc>
          <w:tcPr>
            <w:tcW w:w="2912"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11EEBA16">
            <w:pPr>
              <w:pStyle w:val="30"/>
              <w:keepNext w:val="0"/>
              <w:keepLines w:val="0"/>
              <w:widowControl/>
              <w:suppressLineNumbers w:val="0"/>
              <w:snapToGrid w:val="0"/>
              <w:spacing w:before="0" w:beforeAutospacing="0" w:after="200" w:afterAutospacing="0"/>
              <w:jc w:val="left"/>
              <w:rPr>
                <w:rFonts w:hint="eastAsia" w:ascii="仿宋" w:hAnsi="仿宋" w:eastAsia="仿宋" w:cs="仿宋"/>
                <w:sz w:val="21"/>
                <w:szCs w:val="21"/>
              </w:rPr>
            </w:pPr>
            <w:r>
              <w:rPr>
                <w:rFonts w:hint="eastAsia" w:ascii="仿宋" w:hAnsi="仿宋" w:eastAsia="仿宋" w:cs="仿宋"/>
                <w:sz w:val="21"/>
                <w:szCs w:val="21"/>
              </w:rPr>
              <w:t>≥</w:t>
            </w:r>
            <w:r>
              <w:rPr>
                <w:rFonts w:hint="eastAsia" w:cs="仿宋"/>
                <w:sz w:val="21"/>
                <w:szCs w:val="21"/>
                <w:lang w:val="en-US" w:eastAsia="zh-CN"/>
              </w:rPr>
              <w:t>25</w:t>
            </w:r>
            <w:r>
              <w:rPr>
                <w:rFonts w:hint="eastAsia" w:ascii="仿宋" w:hAnsi="仿宋" w:eastAsia="仿宋" w:cs="仿宋"/>
                <w:sz w:val="21"/>
                <w:szCs w:val="21"/>
              </w:rPr>
              <w:t>人</w:t>
            </w:r>
          </w:p>
        </w:tc>
        <w:tc>
          <w:tcPr>
            <w:tcW w:w="2912"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4C4C777E">
            <w:pPr>
              <w:pStyle w:val="30"/>
              <w:keepNext w:val="0"/>
              <w:keepLines w:val="0"/>
              <w:widowControl/>
              <w:suppressLineNumbers w:val="0"/>
              <w:snapToGrid w:val="0"/>
              <w:spacing w:before="0" w:beforeAutospacing="0" w:after="200" w:afterAutospacing="0"/>
              <w:jc w:val="left"/>
              <w:rPr>
                <w:rFonts w:hint="eastAsia" w:ascii="仿宋" w:hAnsi="仿宋" w:eastAsia="仿宋" w:cs="仿宋"/>
                <w:sz w:val="21"/>
                <w:szCs w:val="21"/>
              </w:rPr>
            </w:pPr>
            <w:r>
              <w:rPr>
                <w:rFonts w:hint="eastAsia" w:ascii="仿宋" w:hAnsi="仿宋" w:eastAsia="仿宋" w:cs="仿宋"/>
                <w:sz w:val="21"/>
                <w:szCs w:val="21"/>
              </w:rPr>
              <w:t>≥</w:t>
            </w:r>
            <w:r>
              <w:rPr>
                <w:rFonts w:hint="eastAsia" w:cs="仿宋"/>
                <w:sz w:val="21"/>
                <w:szCs w:val="21"/>
                <w:lang w:val="en-US" w:eastAsia="zh-CN"/>
              </w:rPr>
              <w:t>40</w:t>
            </w:r>
            <w:r>
              <w:rPr>
                <w:rFonts w:hint="eastAsia" w:ascii="仿宋" w:hAnsi="仿宋" w:eastAsia="仿宋" w:cs="仿宋"/>
                <w:sz w:val="21"/>
                <w:szCs w:val="21"/>
              </w:rPr>
              <w:t>人</w:t>
            </w:r>
          </w:p>
        </w:tc>
      </w:tr>
    </w:tbl>
    <w:p w14:paraId="0A1BD015">
      <w:pPr>
        <w:pStyle w:val="4"/>
        <w:keepNext w:val="0"/>
        <w:keepLines w:val="0"/>
        <w:widowControl/>
        <w:suppressLineNumbers w:val="0"/>
      </w:pPr>
      <w:r>
        <w:rPr>
          <w:rStyle w:val="134"/>
          <w:b/>
          <w:bCs/>
        </w:rPr>
        <w:t>第七章 实施保障与支撑体系</w:t>
      </w:r>
    </w:p>
    <w:p w14:paraId="0E2A4980">
      <w:pPr>
        <w:pStyle w:val="30"/>
        <w:keepNext w:val="0"/>
        <w:keepLines w:val="0"/>
        <w:widowControl/>
        <w:numPr>
          <w:ilvl w:val="0"/>
          <w:numId w:val="19"/>
        </w:numPr>
        <w:suppressLineNumbers w:val="0"/>
        <w:ind w:left="425" w:leftChars="0" w:hanging="425" w:firstLineChars="0"/>
      </w:pPr>
      <w:r>
        <w:rPr>
          <w:b/>
          <w:bCs/>
        </w:rPr>
        <w:t>组织保障：</w:t>
      </w:r>
      <w:r>
        <w:t>成立“胃肠外科科研与医工融合工作领导小组”，由医院主要领导担任组长，胃肠外科及相关科室负责人任副组长，科室全体医师和研究生团队为成员。领导小组统筹科研与学科建设总体方向，定期调度规划实施进展，协调解决跨部门问题。各副组长协助负责科研项目管理、临床研究统筹及学科平台建设等工作；科研秘书配置专人负责科研资料汇总、会议组织、档案管理及对外沟通联络，形成高效的组织协调机制。科研管理实行科研科、教学科“双归口”指导，下设科研助理岗位，确保科研与教学工作同步推进并形成长效运行体系。</w:t>
      </w:r>
    </w:p>
    <w:p w14:paraId="37822717">
      <w:pPr>
        <w:pStyle w:val="30"/>
        <w:keepNext w:val="0"/>
        <w:keepLines w:val="0"/>
        <w:widowControl/>
        <w:numPr>
          <w:ilvl w:val="0"/>
          <w:numId w:val="19"/>
        </w:numPr>
        <w:suppressLineNumbers w:val="0"/>
        <w:ind w:left="425" w:leftChars="0" w:hanging="425" w:firstLineChars="0"/>
      </w:pPr>
      <w:r>
        <w:rPr>
          <w:b/>
          <w:bCs/>
        </w:rPr>
        <w:t>经费保障：</w:t>
      </w:r>
      <w:r>
        <w:t>充分利用肿瘤科国家临床重点专科专项资金和自治区医疗卫生重点学科（胃肠外科）专项资金，设立科研经费池，专项支持本规划确定的医工融合创新课题攻关与成果转化研究。同时，积极申请各级各类科研项目经费，鼓励社会资本参与科研投入，形成多元化、可持续的科研经费支持格局。</w:t>
      </w:r>
    </w:p>
    <w:p w14:paraId="1E534E64">
      <w:pPr>
        <w:pStyle w:val="30"/>
        <w:keepNext w:val="0"/>
        <w:keepLines w:val="0"/>
        <w:widowControl/>
        <w:numPr>
          <w:ilvl w:val="0"/>
          <w:numId w:val="19"/>
        </w:numPr>
        <w:suppressLineNumbers w:val="0"/>
        <w:ind w:left="425" w:leftChars="0" w:hanging="425" w:firstLineChars="0"/>
      </w:pPr>
      <w:r>
        <w:rPr>
          <w:b/>
          <w:bCs/>
        </w:rPr>
        <w:t>平台支撑：</w:t>
      </w:r>
      <w:r>
        <w:t>完善科研支撑平台建设，重点加强“三大平台”建设：一是升级改造“医工融合与教学实验室”，增设手术机器人实验台架、智能内镜研发装置等设施；二是建设高标准的“临床研究型病房”，配备专业科研护理团队和数据采集系统，支撑临床试验与转化研究；三是组建“成果转化验证中心”，对接医疗器械检测机构和产业孵化器，提供原型产品的测试验证和中试放大服务。通过平台建设夯实科研创新与成果转化基础。</w:t>
      </w:r>
    </w:p>
    <w:p w14:paraId="2928FA6E">
      <w:pPr>
        <w:pStyle w:val="30"/>
        <w:keepNext w:val="0"/>
        <w:keepLines w:val="0"/>
        <w:widowControl/>
        <w:numPr>
          <w:ilvl w:val="0"/>
          <w:numId w:val="19"/>
        </w:numPr>
        <w:suppressLineNumbers w:val="0"/>
        <w:ind w:left="425" w:leftChars="0" w:hanging="425" w:firstLineChars="0"/>
      </w:pPr>
      <w:r>
        <w:rPr>
          <w:b/>
          <w:bCs/>
        </w:rPr>
        <w:t>考核机制：</w:t>
      </w:r>
      <w:r>
        <w:t>建立年度科研目标考核制度，将论文发表数量与质量、专利产出、成果转化进展等纳入科室绩效考核指标。年度末对照规划目标对各团队和责任人完成情况进行评估总结，奖优罚劣。通过刚性的目标考核，确保规划各项任务落地生根，形成“目标牵引、持续改进”的良性运行机制。</w:t>
      </w:r>
    </w:p>
    <w:p w14:paraId="67E4734A">
      <w:pPr>
        <w:pStyle w:val="30"/>
        <w:keepNext w:val="0"/>
        <w:keepLines w:val="0"/>
        <w:widowControl/>
        <w:numPr>
          <w:ilvl w:val="0"/>
          <w:numId w:val="19"/>
        </w:numPr>
        <w:suppressLineNumbers w:val="0"/>
        <w:ind w:left="425" w:leftChars="0" w:hanging="425" w:firstLineChars="0"/>
      </w:pPr>
      <w:r>
        <w:rPr>
          <w:b/>
          <w:bCs/>
        </w:rPr>
        <w:t>政策机制：</w:t>
      </w:r>
      <w:r>
        <w:t>建立健全科研成果绩效激励与成果共享制度，完善院企合作与收益分成机制。医院在科研管理制度上给予突破，例如对重大创新成果予以奖励和转化收益返还，激励更多临床医师参与科研创新。同时通过签订院企合作协议，明确知识产权归属和收益分配，引导企业深度参与科研项目，实现优势互补、成果共赢。科研管理制度与政策的完善将为规划实施提供制度保障和动力支持。</w:t>
      </w:r>
    </w:p>
    <w:p w14:paraId="37A972CE">
      <w:pPr>
        <w:pStyle w:val="30"/>
        <w:keepNext w:val="0"/>
        <w:keepLines w:val="0"/>
        <w:widowControl/>
        <w:numPr>
          <w:ilvl w:val="0"/>
          <w:numId w:val="19"/>
        </w:numPr>
        <w:suppressLineNumbers w:val="0"/>
        <w:ind w:left="425" w:leftChars="0" w:hanging="425" w:firstLineChars="0"/>
      </w:pPr>
      <w:r>
        <w:rPr>
          <w:b/>
          <w:bCs/>
        </w:rPr>
        <w:t>对外合作：</w:t>
      </w:r>
      <w:r>
        <w:t>主动对接国内知名高校和科研院所，加强产学研协同创新。与西安交通大学、清华大学、哈尔滨工业大学等在手术机器人控制、智能内镜感知等领域建立联合研发关系，借助高校的学术力量攻克技术难题；与广州中科院医工所、国内知名医疗器械企业等建立战略合作，争取在原型设备制造、产品注册申报等方面获得专业支持。同时，争取政府科技部门支持，将本规划纳入自治区和市级科技发展专项，融入区域创新体系。通过高水平的对外合作，汇聚更多资源助力科室科研与学科建设。</w:t>
      </w:r>
    </w:p>
    <w:p w14:paraId="2FBD3B00">
      <w:pPr>
        <w:pStyle w:val="30"/>
        <w:keepNext w:val="0"/>
        <w:keepLines w:val="0"/>
        <w:widowControl/>
        <w:numPr>
          <w:ilvl w:val="0"/>
          <w:numId w:val="0"/>
        </w:numPr>
        <w:suppressLineNumbers w:val="0"/>
        <w:ind w:leftChars="0" w:right="0" w:rightChars="0"/>
      </w:pPr>
    </w:p>
    <w:p w14:paraId="1E3C25A4">
      <w:pPr>
        <w:pStyle w:val="4"/>
        <w:keepNext w:val="0"/>
        <w:keepLines w:val="0"/>
        <w:widowControl/>
        <w:suppressLineNumbers w:val="0"/>
      </w:pPr>
      <w:r>
        <w:rPr>
          <w:rStyle w:val="134"/>
          <w:b/>
          <w:bCs/>
        </w:rPr>
        <w:t>第八章 发展愿景与总结</w:t>
      </w:r>
    </w:p>
    <w:p w14:paraId="3B1046EC">
      <w:pPr>
        <w:pStyle w:val="30"/>
        <w:keepNext w:val="0"/>
        <w:keepLines w:val="0"/>
        <w:widowControl/>
        <w:suppressLineNumbers w:val="0"/>
        <w:ind w:firstLine="480" w:firstLineChars="200"/>
      </w:pPr>
      <w:r>
        <w:t>通过这一系统规划，胃肠外科将在2035年前建设成为自治区领先、国内有影响力的</w:t>
      </w:r>
      <w:r>
        <w:rPr>
          <w:rStyle w:val="134"/>
        </w:rPr>
        <w:t>医工融合型高水平学科样板</w:t>
      </w:r>
      <w:r>
        <w:t>。</w:t>
      </w:r>
    </w:p>
    <w:p w14:paraId="61409581">
      <w:pPr>
        <w:pStyle w:val="30"/>
        <w:keepNext w:val="0"/>
        <w:keepLines w:val="0"/>
        <w:widowControl/>
        <w:numPr>
          <w:ilvl w:val="0"/>
          <w:numId w:val="20"/>
        </w:numPr>
        <w:suppressLineNumbers w:val="0"/>
        <w:ind w:left="420" w:leftChars="0" w:hanging="420" w:firstLineChars="0"/>
        <w:rPr>
          <w:rFonts w:hint="eastAsia" w:ascii="仿宋" w:hAnsi="仿宋" w:eastAsia="仿宋" w:cs="仿宋"/>
          <w:sz w:val="24"/>
          <w:szCs w:val="24"/>
        </w:rPr>
      </w:pPr>
      <w:r>
        <w:rPr>
          <w:rFonts w:hint="eastAsia" w:ascii="仿宋" w:hAnsi="仿宋" w:eastAsia="仿宋" w:cs="仿宋"/>
          <w:sz w:val="24"/>
          <w:szCs w:val="24"/>
        </w:rPr>
        <w:t>未来十年，巴彦淖尔市医院胃肠外科将以“融合、创新、转化、引领”为核心理念，持续推进智能微创、标准化康复、精准诊疗、具身智能四大方向的协同发展：以临床需求为导向，实现从“术式创新”到“装置注册”的闭环转化；</w:t>
      </w:r>
    </w:p>
    <w:p w14:paraId="7A508B61">
      <w:pPr>
        <w:pStyle w:val="30"/>
        <w:keepNext w:val="0"/>
        <w:keepLines w:val="0"/>
        <w:widowControl/>
        <w:numPr>
          <w:ilvl w:val="0"/>
          <w:numId w:val="20"/>
        </w:numPr>
        <w:suppressLineNumbers w:val="0"/>
        <w:ind w:left="420" w:leftChars="0" w:hanging="420" w:firstLineChars="0"/>
        <w:rPr>
          <w:rFonts w:hint="eastAsia" w:ascii="仿宋" w:hAnsi="仿宋" w:eastAsia="仿宋" w:cs="仿宋"/>
          <w:sz w:val="24"/>
          <w:szCs w:val="24"/>
        </w:rPr>
      </w:pPr>
      <w:r>
        <w:rPr>
          <w:rFonts w:hint="eastAsia" w:ascii="仿宋" w:hAnsi="仿宋" w:eastAsia="仿宋" w:cs="仿宋"/>
          <w:sz w:val="24"/>
          <w:szCs w:val="24"/>
        </w:rPr>
        <w:t>以科研体系为支撑，推动多学科交叉融合创新；</w:t>
      </w:r>
    </w:p>
    <w:p w14:paraId="2A2E13E4">
      <w:pPr>
        <w:pStyle w:val="30"/>
        <w:keepNext w:val="0"/>
        <w:keepLines w:val="0"/>
        <w:widowControl/>
        <w:numPr>
          <w:ilvl w:val="0"/>
          <w:numId w:val="20"/>
        </w:numPr>
        <w:suppressLineNumbers w:val="0"/>
        <w:ind w:left="420" w:leftChars="0" w:hanging="420" w:firstLineChars="0"/>
        <w:rPr>
          <w:rFonts w:hint="eastAsia" w:ascii="仿宋" w:hAnsi="仿宋" w:eastAsia="仿宋" w:cs="仿宋"/>
          <w:sz w:val="24"/>
          <w:szCs w:val="24"/>
        </w:rPr>
      </w:pPr>
      <w:r>
        <w:rPr>
          <w:rFonts w:hint="eastAsia" w:ascii="仿宋" w:hAnsi="仿宋" w:eastAsia="仿宋" w:cs="仿宋"/>
          <w:sz w:val="24"/>
          <w:szCs w:val="24"/>
        </w:rPr>
        <w:t>以人才培养为根基，营造可持续发展的科研生态。</w:t>
      </w:r>
    </w:p>
    <w:p w14:paraId="5950AE58">
      <w:pPr>
        <w:pStyle w:val="30"/>
        <w:keepNext w:val="0"/>
        <w:keepLines w:val="0"/>
        <w:widowControl/>
        <w:suppressLineNumbers w:val="0"/>
        <w:ind w:firstLine="480" w:firstLineChars="200"/>
        <w:rPr>
          <w:rFonts w:hint="eastAsia" w:ascii="仿宋" w:hAnsi="仿宋" w:eastAsia="仿宋" w:cs="仿宋"/>
        </w:rPr>
      </w:pPr>
      <w:r>
        <w:rPr>
          <w:rFonts w:hint="eastAsia" w:ascii="仿宋" w:hAnsi="仿宋" w:eastAsia="仿宋" w:cs="仿宋"/>
          <w:sz w:val="24"/>
          <w:szCs w:val="24"/>
        </w:rPr>
        <w:t>通过这一系统规划的实施，胃肠外科将在2035年前建成自治区领先、国内有影响力的医工融合型高水平学科样板。科室也将把“三主线+外围装备”的综合创新成果凝练为自身独特的医工融合创新品牌，在腹腔镜手术机器人、智能胃肠镜、认知电子病历等领域确立区域乃至国内的领先地位，为自治区乃至国家的医疗科技创新提供有力的示范与引领。</w:t>
      </w:r>
    </w:p>
    <w:p w14:paraId="2055289B">
      <w:pPr>
        <w:pStyle w:val="4"/>
        <w:bidi w:val="0"/>
        <w:rPr>
          <w:rFonts w:hint="eastAsia"/>
          <w:lang w:val="en-US" w:eastAsia="zh-CN"/>
        </w:rPr>
      </w:pPr>
    </w:p>
    <w:p w14:paraId="3CA25F11">
      <w:pPr>
        <w:pStyle w:val="4"/>
        <w:bidi w:val="0"/>
        <w:rPr>
          <w:rFonts w:hint="eastAsia"/>
          <w:lang w:val="en-US" w:eastAsia="zh-CN"/>
        </w:rPr>
      </w:pPr>
      <w:r>
        <w:rPr>
          <w:rFonts w:hint="eastAsia"/>
          <w:lang w:val="en-US" w:eastAsia="zh-CN"/>
        </w:rPr>
        <w:t>附录一 科研方向制定思路</w:t>
      </w:r>
    </w:p>
    <w:p w14:paraId="2043C60E">
      <w:pPr>
        <w:ind w:firstLine="480" w:firstLineChars="200"/>
        <w:rPr>
          <w:rFonts w:hint="default"/>
          <w:sz w:val="24"/>
          <w:szCs w:val="24"/>
          <w:lang w:val="en-US" w:eastAsia="zh-CN"/>
        </w:rPr>
      </w:pPr>
      <w:r>
        <w:rPr>
          <w:rFonts w:hint="default"/>
          <w:sz w:val="24"/>
          <w:szCs w:val="24"/>
          <w:lang w:val="en-US" w:eastAsia="zh-CN"/>
        </w:rPr>
        <w:t>巴彦淖尔市医院胃肠外科科研布局遵循“临床需求牵引、医工融合驱动、转化应用导向、持续再生支撑”的总体思路，形成贯通</w:t>
      </w:r>
      <w:r>
        <w:rPr>
          <w:rFonts w:hint="eastAsia"/>
          <w:sz w:val="24"/>
          <w:szCs w:val="24"/>
          <w:lang w:val="en-US" w:eastAsia="zh-CN"/>
        </w:rPr>
        <w:t>“</w:t>
      </w:r>
      <w:r>
        <w:rPr>
          <w:rFonts w:hint="default"/>
          <w:sz w:val="24"/>
          <w:szCs w:val="24"/>
          <w:lang w:val="en-US" w:eastAsia="zh-CN"/>
        </w:rPr>
        <w:t>基础研究—技术研发—临床应用—成果转化—管理支撑</w:t>
      </w:r>
      <w:r>
        <w:rPr>
          <w:rFonts w:hint="eastAsia"/>
          <w:sz w:val="24"/>
          <w:szCs w:val="24"/>
          <w:lang w:val="en-US" w:eastAsia="zh-CN"/>
        </w:rPr>
        <w:t>”</w:t>
      </w:r>
      <w:r>
        <w:rPr>
          <w:rFonts w:hint="default"/>
          <w:sz w:val="24"/>
          <w:szCs w:val="24"/>
          <w:lang w:val="en-US" w:eastAsia="zh-CN"/>
        </w:rPr>
        <w:t>的连续创新体系。依托DIDTS（1:2-7-21特色整合诊疗体系）主线，构建“医工融合—临床研究—生物医学—技术转化—软科学”五位一体科研格局。</w:t>
      </w:r>
    </w:p>
    <w:p w14:paraId="5AC16BDF">
      <w:pPr>
        <w:ind w:firstLine="480" w:firstLineChars="200"/>
        <w:rPr>
          <w:rFonts w:hint="default"/>
          <w:sz w:val="24"/>
          <w:szCs w:val="24"/>
          <w:lang w:val="en-US" w:eastAsia="zh-CN"/>
        </w:rPr>
      </w:pPr>
      <w:r>
        <w:rPr>
          <w:rFonts w:hint="default"/>
          <w:sz w:val="24"/>
          <w:szCs w:val="24"/>
          <w:lang w:val="en-US" w:eastAsia="zh-CN"/>
        </w:rPr>
        <w:t>医工融合聚焦腹腔镜手术机器人、机器人胃肠镜与认知型电子病历（C-EMR）三大主线，推动软硬件协同与智能系统融合；临床研究以IIT方法学为规范，以“7镜技术体系”和SPC-ERAS为核心，完善PRI、PARI、PoRA-6量化体系；生物医学探讨“免疫—微生态—代谢”相互机制；技术转化强化成果注册与学研融合；软科学以DIO模型构建投入—产出—再生机制。</w:t>
      </w:r>
    </w:p>
    <w:p w14:paraId="7EAFDA6C">
      <w:pPr>
        <w:ind w:firstLine="480" w:firstLineChars="200"/>
        <w:rPr>
          <w:rFonts w:hint="default"/>
          <w:sz w:val="24"/>
          <w:szCs w:val="24"/>
          <w:lang w:val="en-US" w:eastAsia="zh-CN"/>
        </w:rPr>
      </w:pPr>
      <w:r>
        <w:rPr>
          <w:rFonts w:hint="default"/>
          <w:sz w:val="24"/>
          <w:szCs w:val="24"/>
          <w:lang w:val="en-US" w:eastAsia="zh-CN"/>
        </w:rPr>
        <w:t>该体系实现“术式创新—智能康复—成果转化”的一体化发展，奠定自治区智能微创与医工融合科研高地。</w:t>
      </w:r>
    </w:p>
    <w:p w14:paraId="0B20C523">
      <w:pPr>
        <w:pStyle w:val="4"/>
        <w:bidi w:val="0"/>
        <w:rPr>
          <w:rFonts w:hint="eastAsia"/>
          <w:lang w:val="en-US" w:eastAsia="zh-CN"/>
        </w:rPr>
      </w:pPr>
      <w:r>
        <w:rPr>
          <w:rFonts w:hint="eastAsia"/>
          <w:lang w:val="en-US" w:eastAsia="zh-CN"/>
        </w:rPr>
        <w:t>附录二 《巴彦淖尔市医院胃肠外科科研与学科建设十年规划纲要（2008–2035）》编制思路</w:t>
      </w:r>
    </w:p>
    <w:p w14:paraId="1A9CDF0F">
      <w:pPr>
        <w:ind w:firstLine="480" w:firstLineChars="200"/>
        <w:rPr>
          <w:rFonts w:hint="default"/>
          <w:sz w:val="24"/>
          <w:szCs w:val="24"/>
          <w:lang w:val="en-US" w:eastAsia="zh-CN"/>
        </w:rPr>
      </w:pPr>
      <w:r>
        <w:rPr>
          <w:rFonts w:hint="default"/>
          <w:sz w:val="24"/>
          <w:szCs w:val="24"/>
          <w:lang w:val="en-US" w:eastAsia="zh-CN"/>
        </w:rPr>
        <w:t>本《纲要》以新时代医学高质量发展为导向，立足国家临床重点专科（肿瘤科）建设基础，结合自治区区域医疗资源布局，确立“智能微创、医工融合、精准康复、持续再生”四大战略主线。规划遵循“目标牵引、问题导向、系统布局、持续创新”的原则，以科学性、前瞻性和可实施性为核心，构建科研创新、技术转化与人才培养协同并进的一体化发展体系。</w:t>
      </w:r>
    </w:p>
    <w:p w14:paraId="7F5FC8BD">
      <w:pPr>
        <w:ind w:firstLine="480" w:firstLineChars="200"/>
        <w:rPr>
          <w:rFonts w:hint="default"/>
          <w:sz w:val="24"/>
          <w:szCs w:val="24"/>
          <w:lang w:val="en-US" w:eastAsia="zh-CN"/>
        </w:rPr>
      </w:pPr>
      <w:r>
        <w:rPr>
          <w:rFonts w:hint="default"/>
          <w:sz w:val="24"/>
          <w:szCs w:val="24"/>
          <w:lang w:val="en-US" w:eastAsia="zh-CN"/>
        </w:rPr>
        <w:t>在总体结构上，《纲要》系统回顾2004—2024年阶段性成果，总结学科发展的逻辑演进，锚定2025—2035年战略目标与重点任务，构建“生物医学（机制研究）—临床研究（问题导向）—医工融合（工程方案）—技术转化（应用示范）—软科学（管理支撑）”五维科研体系。依托DIDTS（1:2-7-21特色整合诊疗体系）主线，完善“7镜技术体系”、SPC-ERAS标准化预适应路径及PRI、PARI、PoRA-6等原创智能康复评价体系，确保科研目标与临床实践深度融合。</w:t>
      </w:r>
    </w:p>
    <w:p w14:paraId="55260080">
      <w:pPr>
        <w:ind w:firstLine="480" w:firstLineChars="200"/>
        <w:rPr>
          <w:rFonts w:hint="default"/>
          <w:sz w:val="24"/>
          <w:szCs w:val="24"/>
          <w:lang w:val="en-US" w:eastAsia="zh-CN"/>
        </w:rPr>
      </w:pPr>
      <w:r>
        <w:rPr>
          <w:rFonts w:hint="default"/>
          <w:sz w:val="24"/>
          <w:szCs w:val="24"/>
          <w:lang w:val="en-US" w:eastAsia="zh-CN"/>
        </w:rPr>
        <w:t>在内容布局上，聚焦五个亚专业组（代谢与超声内镜、腹膜癌与规范操作、上消化道与早癌、下消化道与介入、小儿外科与内镜）的协同发展，形成分层递进、优势互补的研究体系。同步以DIO模型构建投入—产出—再生的创新机制，推动科研、教学、管理与成果转化的闭环运行。</w:t>
      </w:r>
    </w:p>
    <w:p w14:paraId="332DEEDB">
      <w:pPr>
        <w:ind w:firstLine="480" w:firstLineChars="200"/>
        <w:rPr>
          <w:rFonts w:hint="default"/>
          <w:sz w:val="24"/>
          <w:szCs w:val="24"/>
          <w:lang w:val="en-US" w:eastAsia="zh-CN"/>
        </w:rPr>
      </w:pPr>
      <w:r>
        <w:rPr>
          <w:rFonts w:hint="default"/>
          <w:sz w:val="24"/>
          <w:szCs w:val="24"/>
          <w:lang w:val="en-US" w:eastAsia="zh-CN"/>
        </w:rPr>
        <w:t>本《纲要》既是未来十年巴彦淖尔市医院胃肠外科科研与学科建设的顶层设计蓝图，也是引领自治区“智能微创与医工融合创新中心”建设的行动指南</w:t>
      </w:r>
      <w:r>
        <w:rPr>
          <w:rFonts w:hint="eastAsia"/>
          <w:sz w:val="24"/>
          <w:szCs w:val="24"/>
          <w:lang w:val="en-US" w:eastAsia="zh-CN"/>
        </w:rPr>
        <w:t>，</w:t>
      </w:r>
      <w:r>
        <w:rPr>
          <w:rFonts w:hint="default"/>
          <w:sz w:val="24"/>
          <w:szCs w:val="24"/>
          <w:lang w:val="en-US" w:eastAsia="zh-CN"/>
        </w:rPr>
        <w:t>为学科建设持续提供理论引领与路径支撑</w:t>
      </w:r>
      <w:r>
        <w:rPr>
          <w:rFonts w:hint="eastAsia"/>
          <w:sz w:val="24"/>
          <w:szCs w:val="24"/>
          <w:lang w:val="en-US" w:eastAsia="zh-CN"/>
        </w:rPr>
        <w:t>。</w:t>
      </w:r>
    </w:p>
    <w:p w14:paraId="0E752C08">
      <w:pPr>
        <w:pStyle w:val="4"/>
        <w:bidi w:val="0"/>
        <w:rPr>
          <w:rFonts w:hint="eastAsia"/>
          <w:lang w:val="en-US" w:eastAsia="zh-CN"/>
        </w:rPr>
      </w:pPr>
      <w:r>
        <w:rPr>
          <w:rFonts w:hint="eastAsia"/>
          <w:lang w:val="en-US" w:eastAsia="zh-CN"/>
        </w:rPr>
        <w:t>附录三 术语解释</w:t>
      </w:r>
    </w:p>
    <w:p w14:paraId="7F6308F1">
      <w:pPr>
        <w:pStyle w:val="30"/>
        <w:keepNext w:val="0"/>
        <w:keepLines w:val="0"/>
        <w:widowControl/>
        <w:suppressLineNumbers w:val="0"/>
        <w:rPr>
          <w:rFonts w:hint="default"/>
          <w:lang w:val="en-US" w:eastAsia="zh-CN"/>
        </w:rPr>
      </w:pPr>
      <w:r>
        <w:rPr>
          <w:rStyle w:val="141"/>
          <w:rFonts w:hint="eastAsia"/>
          <w:lang w:val="en-US" w:eastAsia="zh-CN"/>
        </w:rPr>
        <w:t>一、“ 1：2-7-21”特色整合诊疗体系</w:t>
      </w:r>
      <w:r>
        <w:rPr>
          <w:rFonts w:hint="default"/>
          <w:lang w:val="en-US" w:eastAsia="zh-CN"/>
        </w:rPr>
        <w:t>（The '1:2-7-21 'Distinct Integrated Diagnostic and Treatment System ，DIDTS）：高质量诊疗的保障。</w:t>
      </w:r>
    </w:p>
    <w:p w14:paraId="37B0CC5A">
      <w:pPr>
        <w:pStyle w:val="30"/>
        <w:keepNext w:val="0"/>
        <w:keepLines w:val="0"/>
        <w:widowControl/>
        <w:suppressLineNumbers w:val="0"/>
        <w:rPr>
          <w:rFonts w:hint="default"/>
          <w:lang w:val="en-US" w:eastAsia="zh-CN"/>
        </w:rPr>
      </w:pPr>
      <w:r>
        <w:rPr>
          <w:rFonts w:hint="default"/>
          <w:lang w:val="en-US" w:eastAsia="zh-CN"/>
        </w:rPr>
        <w:t xml:space="preserve">    “1”：是指“医教研管防”并重。建立在以循证医学、精准医疗、多种复杂微创技术和高质量围术期管理等基础之上的、整合形成的一体化、全链条的高质量诊疗服务体系。这是整个体系建设的主导思想。</w:t>
      </w:r>
    </w:p>
    <w:p w14:paraId="40C3761C">
      <w:pPr>
        <w:pStyle w:val="30"/>
        <w:keepNext w:val="0"/>
        <w:keepLines w:val="0"/>
        <w:widowControl/>
        <w:suppressLineNumbers w:val="0"/>
        <w:rPr>
          <w:rFonts w:hint="default"/>
          <w:lang w:val="en-US" w:eastAsia="zh-CN"/>
        </w:rPr>
      </w:pPr>
      <w:r>
        <w:rPr>
          <w:rFonts w:hint="default"/>
          <w:lang w:val="en-US" w:eastAsia="zh-CN"/>
        </w:rPr>
        <w:t xml:space="preserve">    “2”：是指针对疾病诊疗、并发症防治形成的2大诊疗体系。这是整个体系建设的根本。</w:t>
      </w:r>
    </w:p>
    <w:p w14:paraId="6E368309">
      <w:pPr>
        <w:pStyle w:val="30"/>
        <w:keepNext w:val="0"/>
        <w:keepLines w:val="0"/>
        <w:widowControl/>
        <w:suppressLineNumbers w:val="0"/>
        <w:rPr>
          <w:rFonts w:hint="default"/>
          <w:lang w:val="en-US" w:eastAsia="zh-CN"/>
        </w:rPr>
      </w:pPr>
      <w:r>
        <w:rPr>
          <w:rFonts w:hint="default"/>
          <w:lang w:val="en-US" w:eastAsia="zh-CN"/>
        </w:rPr>
        <w:t xml:space="preserve">    “7”：是指腹腔镜、胃镜、肠镜、经肛门内镜微创技术（TEM）、胸腔镜、直乙镜、超声内镜等7种高精尖设备构成的业务支撑系统。多种高精尖微创设备、技术集于一身，正所谓独舞，则各显绝妙之美；共奏，则交织完美华章。这是特色专科的依托。</w:t>
      </w:r>
    </w:p>
    <w:p w14:paraId="4B2483D9">
      <w:pPr>
        <w:pStyle w:val="30"/>
        <w:keepNext w:val="0"/>
        <w:keepLines w:val="0"/>
        <w:widowControl/>
        <w:suppressLineNumbers w:val="0"/>
        <w:rPr>
          <w:rFonts w:hint="default"/>
          <w:lang w:val="en-US" w:eastAsia="zh-CN"/>
        </w:rPr>
      </w:pPr>
      <w:r>
        <w:rPr>
          <w:rFonts w:hint="default"/>
          <w:lang w:val="en-US" w:eastAsia="zh-CN"/>
        </w:rPr>
        <w:t xml:space="preserve">   “21”：是指精细化膜解剖手术技术、完全腹腔镜胃癌根治术、完全腹腔镜结直肠癌根治术、“7镜”联合技术、完全腹腔镜空肠间置术、经自然腔道取标本技术（NOSES）、完全腹腔镜消化道模式化手工缝合技术（PMST-LGS）、腹膜癌CRS/HIPEC整合治疗模式、经肛门内镜微创手术（TEM）、内镜逆行性阑尾炎治疗术（ERAT）、内镜粘膜下剥离术（ESD）、内镜全层切除术（EFTR）、内镜隧道切除术（STER）、贲门失迟缓症内镜下肌切开术（POEM）、内镜下消化道支架置入术、内镜下延长透明帽圈套器与氩离子凝固联合技术 （CETC-SAPC）、标准化预适应加速康复外科（SPC-ERAS）、术后康复指数（PRI）、加速康复外科（ERAS）、空肠营养管置入与管理、肠梗阻导管置入与管理等21项先进特色技术。这些以微创为核心的技术体系，是高效、安全诊疗的基石。</w:t>
      </w:r>
    </w:p>
    <w:p w14:paraId="43D2C225">
      <w:pPr>
        <w:pStyle w:val="30"/>
        <w:keepNext w:val="0"/>
        <w:keepLines w:val="0"/>
        <w:widowControl/>
        <w:suppressLineNumbers w:val="0"/>
        <w:ind w:firstLine="480"/>
        <w:rPr>
          <w:rFonts w:hint="default"/>
          <w:lang w:val="en-US" w:eastAsia="zh-CN"/>
        </w:rPr>
      </w:pPr>
      <w:r>
        <w:rPr>
          <w:rFonts w:hint="default"/>
          <w:lang w:val="en-US" w:eastAsia="zh-CN"/>
        </w:rPr>
        <w:t>DIDTS体系的建设，为患者提供了更加先进、稳定、一体化的高质量手术和围术期管理服务，也为学科的长远发展奠定了坚实基础。</w:t>
      </w:r>
    </w:p>
    <w:p w14:paraId="06E0C936">
      <w:pPr>
        <w:pStyle w:val="30"/>
        <w:keepNext w:val="0"/>
        <w:keepLines w:val="0"/>
        <w:widowControl/>
        <w:numPr>
          <w:ilvl w:val="0"/>
          <w:numId w:val="21"/>
        </w:numPr>
        <w:suppressLineNumbers w:val="0"/>
        <w:ind w:right="0" w:rightChars="0"/>
        <w:rPr>
          <w:rFonts w:hint="eastAsia"/>
          <w:lang w:val="en-US" w:eastAsia="zh-CN"/>
        </w:rPr>
      </w:pPr>
      <w:r>
        <w:rPr>
          <w:rStyle w:val="141"/>
          <w:rFonts w:hint="eastAsia"/>
          <w:lang w:val="en-US" w:eastAsia="zh-CN"/>
        </w:rPr>
        <w:t>CETC-SAPC术式：</w:t>
      </w:r>
      <w:r>
        <w:rPr>
          <w:rFonts w:hint="eastAsia"/>
          <w:lang w:val="en-US" w:eastAsia="zh-CN"/>
        </w:rPr>
        <w:t>内镜下延长透明帽圈套器与氩离子凝固联合技术（Combined Endoscopic Technique Utilizing Extended Transparent Cap,Snare,and Argon Plasma Coagulation,CETC-SAPC)。</w:t>
      </w:r>
    </w:p>
    <w:p w14:paraId="6F6D7809">
      <w:pPr>
        <w:pStyle w:val="30"/>
        <w:keepNext w:val="0"/>
        <w:keepLines w:val="0"/>
        <w:widowControl/>
        <w:suppressLineNumbers w:val="0"/>
        <w:rPr>
          <w:rFonts w:hint="eastAsia"/>
          <w:lang w:val="en-US" w:eastAsia="zh-CN"/>
        </w:rPr>
      </w:pPr>
      <w:r>
        <w:rPr>
          <w:rFonts w:hint="eastAsia"/>
          <w:b/>
          <w:bCs/>
          <w:lang w:val="en-US" w:eastAsia="zh-CN"/>
        </w:rPr>
        <w:t>适应症：</w:t>
      </w:r>
      <w:r>
        <w:rPr>
          <w:rFonts w:hint="eastAsia"/>
          <w:lang w:val="en-US" w:eastAsia="zh-CN"/>
        </w:rPr>
        <w:t>适用于切除1厘米以下的消化道黏膜下小肿瘤，特别适合极小病灶，具有精准定位和切除干净的特点，有效避免因病灶过小而无法找到的情况。</w:t>
      </w:r>
    </w:p>
    <w:p w14:paraId="64775C0B">
      <w:pPr>
        <w:pStyle w:val="30"/>
        <w:keepNext w:val="0"/>
        <w:keepLines w:val="0"/>
        <w:widowControl/>
        <w:suppressLineNumbers w:val="0"/>
        <w:rPr>
          <w:rFonts w:hint="eastAsia"/>
          <w:lang w:val="en-US" w:eastAsia="zh-CN"/>
        </w:rPr>
      </w:pPr>
      <w:r>
        <w:rPr>
          <w:rFonts w:hint="eastAsia"/>
          <w:b/>
          <w:bCs/>
          <w:lang w:val="en-US" w:eastAsia="zh-CN"/>
        </w:rPr>
        <w:t>方法：</w:t>
      </w:r>
      <w:r>
        <w:rPr>
          <w:rFonts w:hint="eastAsia"/>
          <w:lang w:val="en-US" w:eastAsia="zh-CN"/>
        </w:rPr>
        <w:t>在内镜前端安装延长透明帽，并套上圈套器，进入消化道对准病灶，将病灶吸入帽内并用圈套器电切完整切除。随后使用氩离子凝固处理残腔，进一步减少微小病灶残留风险。</w:t>
      </w:r>
    </w:p>
    <w:p w14:paraId="4EADB2FF">
      <w:pPr>
        <w:pStyle w:val="30"/>
        <w:keepNext w:val="0"/>
        <w:keepLines w:val="0"/>
        <w:widowControl/>
        <w:numPr>
          <w:ilvl w:val="0"/>
          <w:numId w:val="21"/>
        </w:numPr>
        <w:suppressLineNumbers w:val="0"/>
        <w:spacing w:before="0" w:beforeAutospacing="0" w:after="0" w:afterAutospacing="0"/>
        <w:ind w:left="0" w:leftChars="0" w:right="0" w:rightChars="0" w:firstLine="0" w:firstLineChars="0"/>
        <w:rPr>
          <w:rFonts w:hint="eastAsia" w:ascii="仿宋" w:hAnsi="仿宋" w:eastAsia="仿宋" w:cs="仿宋"/>
          <w:sz w:val="24"/>
          <w:szCs w:val="24"/>
          <w:lang w:eastAsia="zh-CN"/>
        </w:rPr>
      </w:pPr>
      <w:r>
        <w:rPr>
          <w:rStyle w:val="141"/>
          <w:rFonts w:hint="eastAsia"/>
          <w:lang w:eastAsia="zh-CN"/>
        </w:rPr>
        <w:t>智能助力腹腔镜模块化手术平台</w:t>
      </w:r>
      <w:r>
        <w:rPr>
          <w:rFonts w:hint="eastAsia" w:ascii="仿宋" w:hAnsi="仿宋" w:eastAsia="仿宋" w:cs="仿宋"/>
          <w:sz w:val="24"/>
          <w:szCs w:val="24"/>
          <w:lang w:eastAsia="zh-CN"/>
        </w:rPr>
        <w:t>（Smart Modular Laparoscopic Surgical Platform，SMLSP）：该系统由模块化机械臂、多自由度手术末端工具系统、固定于手术台的智能助力支架等组成，采用多机械臂解决方案，以高度灵活性和精确性配合外科医生完成牵拉、显露、切割、缝合、分离等复杂腹腔镜手术任务，满足腹腔镜手术中深部操作的需求，提高腹腔镜手术的安全性和精准度。同时，该系统低成本、易配置，满足各种临床场景的需求，适用中小医院推广使用，具备重要的临床意义。</w:t>
      </w:r>
    </w:p>
    <w:p w14:paraId="51DCDD6C">
      <w:pPr>
        <w:pStyle w:val="30"/>
        <w:keepNext w:val="0"/>
        <w:keepLines w:val="0"/>
        <w:widowControl/>
        <w:numPr>
          <w:ilvl w:val="0"/>
          <w:numId w:val="21"/>
        </w:numPr>
        <w:suppressLineNumbers w:val="0"/>
        <w:spacing w:before="0" w:beforeAutospacing="0" w:after="0" w:afterAutospacing="0"/>
        <w:ind w:left="0" w:leftChars="0" w:right="0" w:rightChars="0" w:firstLine="0" w:firstLineChars="0"/>
        <w:rPr>
          <w:sz w:val="28"/>
          <w:szCs w:val="28"/>
        </w:rPr>
      </w:pPr>
      <w:r>
        <w:rPr>
          <w:rStyle w:val="141"/>
          <w:rFonts w:hint="eastAsia"/>
          <w:lang w:eastAsia="zh-CN"/>
        </w:rPr>
        <w:t>学科投入-产出再生模型</w:t>
      </w:r>
      <w:r>
        <w:rPr>
          <w:rFonts w:hint="eastAsia" w:ascii="仿宋" w:hAnsi="仿宋" w:eastAsia="仿宋" w:cs="仿宋"/>
          <w:sz w:val="24"/>
          <w:szCs w:val="24"/>
          <w:lang w:eastAsia="zh-CN"/>
        </w:rPr>
        <w:t>（Discipline Input-Output Regeneration Model）</w:t>
      </w:r>
      <w:r>
        <w:rPr>
          <w:rFonts w:hint="eastAsia" w:cs="仿宋"/>
          <w:sz w:val="24"/>
          <w:szCs w:val="24"/>
          <w:lang w:eastAsia="zh-CN"/>
        </w:rPr>
        <w:t>：</w:t>
      </w:r>
      <w:r>
        <w:rPr>
          <w:rFonts w:hint="eastAsia" w:ascii="仿宋" w:hAnsi="仿宋" w:eastAsia="仿宋" w:cs="仿宋"/>
          <w:sz w:val="24"/>
          <w:szCs w:val="24"/>
          <w:lang w:eastAsia="zh-CN"/>
        </w:rPr>
        <w:t xml:space="preserve"> DIO模型是本项目团队原创提出的一种面向医院学科高质量发展的系统性管理理论框架。该模型以资金投入（Input）、成果产出（Output）和再生（Regeneration）为核心环节，不仅关注专项资金的高效配置与产出，更强调通过成果、知识、经验和团队的持续衍生，实现后续项目申报、经费滚动、人才培养及学科创新的“再生循环”，推动专项资金管理从单一投入转向可持续、多元化、良性循环的发展模式。</w:t>
      </w:r>
    </w:p>
    <w:p w14:paraId="66F9DC82">
      <w:pPr>
        <w:pStyle w:val="30"/>
        <w:keepNext w:val="0"/>
        <w:keepLines w:val="0"/>
        <w:widowControl/>
        <w:numPr>
          <w:ilvl w:val="0"/>
          <w:numId w:val="21"/>
        </w:numPr>
        <w:suppressLineNumbers w:val="0"/>
        <w:spacing w:before="0" w:beforeAutospacing="0" w:after="0" w:afterAutospacing="0"/>
        <w:ind w:left="0" w:leftChars="0" w:right="0" w:rightChars="0" w:firstLine="0" w:firstLineChars="0"/>
        <w:rPr>
          <w:sz w:val="28"/>
          <w:szCs w:val="28"/>
        </w:rPr>
      </w:pPr>
      <w:r>
        <w:rPr>
          <w:rStyle w:val="141"/>
          <w:rFonts w:hint="eastAsia"/>
          <w:lang w:eastAsia="zh-CN"/>
        </w:rPr>
        <w:t>术后康复指数</w:t>
      </w:r>
      <w:r>
        <w:rPr>
          <w:rFonts w:hint="eastAsia" w:ascii="仿宋" w:hAnsi="仿宋" w:eastAsia="仿宋" w:cs="仿宋"/>
          <w:sz w:val="28"/>
          <w:szCs w:val="28"/>
          <w:lang w:eastAsia="zh-CN"/>
        </w:rPr>
        <w:t>（Postoperative Recovery Index, PRI）</w:t>
      </w:r>
      <w:r>
        <w:rPr>
          <w:rFonts w:hint="eastAsia" w:cs="仿宋"/>
          <w:sz w:val="28"/>
          <w:szCs w:val="28"/>
          <w:lang w:eastAsia="zh-CN"/>
        </w:rPr>
        <w:t>：</w:t>
      </w:r>
      <w:r>
        <w:rPr>
          <w:rFonts w:hint="eastAsia" w:ascii="仿宋" w:hAnsi="仿宋" w:eastAsia="仿宋" w:cs="仿宋"/>
          <w:sz w:val="24"/>
          <w:szCs w:val="24"/>
          <w:lang w:eastAsia="zh-CN"/>
        </w:rPr>
        <w:t>是指患者术后任一时间点的健康程度与术前基线健康程度的比值，以百分比表示，用于评估患者从术中创伤中恢复的程度。该指数能排除地域、医保、住院政策等外部干扰，是更加客观、动态、通用的术后恢复程度评价工具。</w:t>
      </w:r>
    </w:p>
    <w:p w14:paraId="228ADE9D">
      <w:pPr>
        <w:pStyle w:val="30"/>
        <w:keepNext w:val="0"/>
        <w:keepLines w:val="0"/>
        <w:widowControl/>
        <w:numPr>
          <w:ilvl w:val="0"/>
          <w:numId w:val="21"/>
        </w:numPr>
        <w:suppressLineNumbers w:val="0"/>
        <w:spacing w:before="0" w:beforeAutospacing="0" w:after="0" w:afterAutospacing="0"/>
        <w:ind w:left="0" w:leftChars="0" w:right="0" w:rightChars="0" w:firstLine="0" w:firstLineChars="0"/>
        <w:rPr>
          <w:rFonts w:hint="eastAsia" w:ascii="仿宋" w:hAnsi="仿宋" w:eastAsia="仿宋" w:cs="仿宋"/>
          <w:sz w:val="28"/>
          <w:szCs w:val="28"/>
        </w:rPr>
      </w:pPr>
      <w:r>
        <w:rPr>
          <w:rStyle w:val="141"/>
          <w:rFonts w:hint="eastAsia"/>
          <w:lang w:eastAsia="zh-CN"/>
        </w:rPr>
        <w:t>麻醉恢复指数</w:t>
      </w:r>
      <w:r>
        <w:rPr>
          <w:rFonts w:hint="eastAsia" w:ascii="仿宋" w:hAnsi="仿宋" w:eastAsia="仿宋" w:cs="仿宋"/>
          <w:sz w:val="28"/>
          <w:szCs w:val="28"/>
          <w:lang w:eastAsia="zh-CN"/>
        </w:rPr>
        <w:t>（PARI, Postanesthesia Recovery Index）</w:t>
      </w:r>
      <w:r>
        <w:rPr>
          <w:rFonts w:hint="eastAsia" w:cs="仿宋"/>
          <w:sz w:val="28"/>
          <w:szCs w:val="28"/>
          <w:lang w:eastAsia="zh-CN"/>
        </w:rPr>
        <w:t>：</w:t>
      </w:r>
      <w:r>
        <w:rPr>
          <w:rFonts w:hint="eastAsia" w:ascii="仿宋" w:hAnsi="仿宋" w:eastAsia="仿宋" w:cs="仿宋"/>
          <w:sz w:val="24"/>
          <w:szCs w:val="24"/>
          <w:lang w:eastAsia="zh-CN"/>
        </w:rPr>
        <w:t>是指通过对患者麻醉前基线健康评分（Baseline Health Score, BHS）与麻醉后各关键节点当前健康评分（Current Health Score, CHS）的比值，动态、量化反映患者麻醉后各阶段多维度功能与体验恢复速度和程度的综合指标</w:t>
      </w:r>
      <w:r>
        <w:rPr>
          <w:rFonts w:hint="eastAsia" w:ascii="仿宋" w:hAnsi="仿宋" w:eastAsia="仿宋" w:cs="仿宋"/>
          <w:sz w:val="24"/>
          <w:szCs w:val="24"/>
          <w:lang w:val="en-US"/>
        </w:rPr>
        <w:t>。</w:t>
      </w:r>
    </w:p>
    <w:p w14:paraId="04F3D000">
      <w:pPr>
        <w:pStyle w:val="30"/>
        <w:keepNext w:val="0"/>
        <w:keepLines w:val="0"/>
        <w:widowControl/>
        <w:numPr>
          <w:ilvl w:val="0"/>
          <w:numId w:val="21"/>
        </w:numPr>
        <w:suppressLineNumbers w:val="0"/>
        <w:spacing w:before="0" w:beforeAutospacing="0" w:after="0" w:afterAutospacing="0"/>
        <w:ind w:left="0" w:leftChars="0" w:right="0" w:rightChars="0" w:firstLine="0" w:firstLineChars="0"/>
        <w:rPr>
          <w:rFonts w:hint="eastAsia" w:ascii="仿宋" w:hAnsi="仿宋" w:eastAsia="仿宋" w:cs="仿宋"/>
          <w:sz w:val="24"/>
          <w:szCs w:val="24"/>
        </w:rPr>
      </w:pPr>
      <w:r>
        <w:rPr>
          <w:rStyle w:val="141"/>
          <w:rFonts w:hint="eastAsia"/>
          <w:lang w:eastAsia="zh-CN"/>
        </w:rPr>
        <w:t>术后风险警戒六级系统</w:t>
      </w:r>
      <w:r>
        <w:rPr>
          <w:rFonts w:hint="eastAsia" w:ascii="仿宋" w:hAnsi="仿宋" w:eastAsia="仿宋" w:cs="仿宋"/>
          <w:sz w:val="28"/>
          <w:szCs w:val="28"/>
          <w:lang w:eastAsia="zh-CN"/>
        </w:rPr>
        <w:t>（Postoperative Risk Alert—6 Levels，PoRA-6）</w:t>
      </w:r>
      <w:r>
        <w:rPr>
          <w:rFonts w:hint="eastAsia" w:cs="仿宋"/>
          <w:sz w:val="28"/>
          <w:szCs w:val="28"/>
          <w:lang w:eastAsia="zh-CN"/>
        </w:rPr>
        <w:t>：</w:t>
      </w:r>
      <w:r>
        <w:rPr>
          <w:rFonts w:hint="eastAsia" w:ascii="仿宋" w:hAnsi="仿宋" w:eastAsia="仿宋" w:cs="仿宋"/>
          <w:sz w:val="24"/>
          <w:szCs w:val="24"/>
          <w:lang w:eastAsia="zh-CN"/>
        </w:rPr>
        <w:t>是针对外科手术后患者病情变化特点而提出的一种原创性分级预警体系。其核心思想是：基于多模态信息（包括可穿戴设备连续监测的生命体征、实验室检查结果、护理记录以及患者自述症状等），结合人工智能与临床规则算法，对患者的围术期状态进行实时分析与动态分级。将患者的风险状况从 0级（稳定）到5级（危急） 划分为</w:t>
      </w:r>
      <w:r>
        <w:rPr>
          <w:rFonts w:hint="eastAsia" w:ascii="仿宋" w:hAnsi="仿宋" w:eastAsia="仿宋" w:cs="仿宋"/>
          <w:sz w:val="24"/>
          <w:szCs w:val="24"/>
          <w:lang w:val="en-US"/>
        </w:rPr>
        <w:t>6</w:t>
      </w:r>
      <w:r>
        <w:rPr>
          <w:rFonts w:hint="eastAsia" w:ascii="仿宋" w:hAnsi="仿宋" w:eastAsia="仿宋" w:cs="仿宋"/>
          <w:sz w:val="24"/>
          <w:szCs w:val="24"/>
          <w:lang w:eastAsia="zh-CN"/>
        </w:rPr>
        <w:t>个层次，每一级别对应明确的临床干预措施：</w:t>
      </w:r>
    </w:p>
    <w:p w14:paraId="5DBBE99A">
      <w:pPr>
        <w:pStyle w:val="30"/>
        <w:keepNext w:val="0"/>
        <w:keepLines w:val="0"/>
        <w:widowControl/>
        <w:numPr>
          <w:ilvl w:val="0"/>
          <w:numId w:val="22"/>
        </w:numPr>
        <w:suppressLineNumbers w:val="0"/>
        <w:spacing w:before="0" w:beforeAutospacing="0" w:after="0" w:afterAutospacing="0"/>
        <w:ind w:left="420" w:leftChars="0" w:right="0" w:hanging="420" w:firstLineChars="0"/>
        <w:rPr>
          <w:sz w:val="24"/>
          <w:szCs w:val="24"/>
        </w:rPr>
      </w:pPr>
      <w:r>
        <w:rPr>
          <w:rFonts w:hint="eastAsia" w:ascii="仿宋" w:hAnsi="仿宋" w:eastAsia="仿宋" w:cs="仿宋"/>
          <w:sz w:val="24"/>
          <w:szCs w:val="24"/>
          <w:lang w:eastAsia="zh-CN"/>
        </w:rPr>
        <w:t>0级：稳定状态，仅常规观察；</w:t>
      </w:r>
    </w:p>
    <w:p w14:paraId="0B24316D">
      <w:pPr>
        <w:pStyle w:val="30"/>
        <w:keepNext w:val="0"/>
        <w:keepLines w:val="0"/>
        <w:widowControl/>
        <w:numPr>
          <w:ilvl w:val="0"/>
          <w:numId w:val="22"/>
        </w:numPr>
        <w:suppressLineNumbers w:val="0"/>
        <w:spacing w:before="0" w:beforeAutospacing="0" w:after="0" w:afterAutospacing="0"/>
        <w:ind w:left="420" w:leftChars="0" w:right="0" w:hanging="420" w:firstLineChars="0"/>
        <w:rPr>
          <w:sz w:val="24"/>
          <w:szCs w:val="24"/>
        </w:rPr>
      </w:pPr>
      <w:r>
        <w:rPr>
          <w:rFonts w:hint="eastAsia" w:ascii="仿宋" w:hAnsi="仿宋" w:eastAsia="仿宋" w:cs="仿宋"/>
          <w:sz w:val="24"/>
          <w:szCs w:val="24"/>
          <w:lang w:eastAsia="zh-CN"/>
        </w:rPr>
        <w:t>1级：轻度异常，需复测和持续观察；</w:t>
      </w:r>
    </w:p>
    <w:p w14:paraId="3E8DF70F">
      <w:pPr>
        <w:pStyle w:val="30"/>
        <w:keepNext w:val="0"/>
        <w:keepLines w:val="0"/>
        <w:widowControl/>
        <w:numPr>
          <w:ilvl w:val="0"/>
          <w:numId w:val="22"/>
        </w:numPr>
        <w:suppressLineNumbers w:val="0"/>
        <w:spacing w:before="0" w:beforeAutospacing="0" w:after="0" w:afterAutospacing="0"/>
        <w:ind w:left="420" w:leftChars="0" w:right="0" w:hanging="420" w:firstLineChars="0"/>
        <w:rPr>
          <w:sz w:val="24"/>
          <w:szCs w:val="24"/>
        </w:rPr>
      </w:pPr>
      <w:r>
        <w:rPr>
          <w:rFonts w:hint="eastAsia" w:ascii="仿宋" w:hAnsi="仿宋" w:eastAsia="仿宋" w:cs="仿宋"/>
          <w:sz w:val="24"/>
          <w:szCs w:val="24"/>
          <w:lang w:eastAsia="zh-CN"/>
        </w:rPr>
        <w:t>2级：关注级，提示趋势性恶化，需增加监测或实验室检查；</w:t>
      </w:r>
    </w:p>
    <w:p w14:paraId="172129A5">
      <w:pPr>
        <w:pStyle w:val="30"/>
        <w:keepNext w:val="0"/>
        <w:keepLines w:val="0"/>
        <w:widowControl/>
        <w:numPr>
          <w:ilvl w:val="0"/>
          <w:numId w:val="22"/>
        </w:numPr>
        <w:suppressLineNumbers w:val="0"/>
        <w:spacing w:before="0" w:beforeAutospacing="0" w:after="0" w:afterAutospacing="0"/>
        <w:ind w:left="420" w:leftChars="0" w:right="0" w:hanging="420" w:firstLineChars="0"/>
        <w:rPr>
          <w:sz w:val="24"/>
          <w:szCs w:val="24"/>
        </w:rPr>
      </w:pPr>
      <w:r>
        <w:rPr>
          <w:rFonts w:hint="eastAsia" w:ascii="仿宋" w:hAnsi="仿宋" w:eastAsia="仿宋" w:cs="仿宋"/>
          <w:sz w:val="24"/>
          <w:szCs w:val="24"/>
          <w:lang w:eastAsia="zh-CN"/>
        </w:rPr>
        <w:t>3级：中度高危，提示可能出现并发症，需医生床旁评估和治疗干预；</w:t>
      </w:r>
    </w:p>
    <w:p w14:paraId="5ACC8487">
      <w:pPr>
        <w:pStyle w:val="30"/>
        <w:keepNext w:val="0"/>
        <w:keepLines w:val="0"/>
        <w:widowControl/>
        <w:numPr>
          <w:ilvl w:val="0"/>
          <w:numId w:val="22"/>
        </w:numPr>
        <w:suppressLineNumbers w:val="0"/>
        <w:spacing w:before="0" w:beforeAutospacing="0" w:after="0" w:afterAutospacing="0"/>
        <w:ind w:left="420" w:leftChars="0" w:right="0" w:hanging="420" w:firstLineChars="0"/>
        <w:rPr>
          <w:sz w:val="24"/>
          <w:szCs w:val="24"/>
        </w:rPr>
      </w:pPr>
      <w:r>
        <w:rPr>
          <w:rFonts w:hint="eastAsia" w:ascii="仿宋" w:hAnsi="仿宋" w:eastAsia="仿宋" w:cs="仿宋"/>
          <w:sz w:val="24"/>
          <w:szCs w:val="24"/>
          <w:lang w:eastAsia="zh-CN"/>
        </w:rPr>
        <w:t>4级：高度警戒，提示严重并发症风险，需立即启动快速反应或 ICU 会诊；</w:t>
      </w:r>
    </w:p>
    <w:p w14:paraId="46283DBF">
      <w:pPr>
        <w:pStyle w:val="30"/>
        <w:keepNext w:val="0"/>
        <w:keepLines w:val="0"/>
        <w:widowControl/>
        <w:numPr>
          <w:ilvl w:val="0"/>
          <w:numId w:val="22"/>
        </w:numPr>
        <w:suppressLineNumbers w:val="0"/>
        <w:spacing w:before="0" w:beforeAutospacing="0" w:after="0" w:afterAutospacing="0"/>
        <w:ind w:left="420" w:leftChars="0" w:right="0" w:hanging="420" w:firstLineChars="0"/>
        <w:rPr>
          <w:sz w:val="24"/>
          <w:szCs w:val="24"/>
        </w:rPr>
      </w:pPr>
      <w:r>
        <w:rPr>
          <w:rFonts w:hint="eastAsia" w:ascii="仿宋" w:hAnsi="仿宋" w:eastAsia="仿宋" w:cs="仿宋"/>
          <w:sz w:val="24"/>
          <w:szCs w:val="24"/>
          <w:lang w:eastAsia="zh-CN"/>
        </w:rPr>
        <w:t>5级：危急状态，提示生命体征失代偿或严重并发症，需紧急抢救和高级生命支持。</w:t>
      </w:r>
    </w:p>
    <w:p w14:paraId="5EE9AE2A">
      <w:pPr>
        <w:pStyle w:val="30"/>
        <w:keepNext w:val="0"/>
        <w:keepLines w:val="0"/>
        <w:widowControl/>
        <w:suppressLineNumbers w:val="0"/>
        <w:spacing w:before="0" w:beforeAutospacing="0" w:after="0" w:afterAutospacing="0"/>
        <w:ind w:left="0" w:right="0"/>
        <w:rPr>
          <w:rFonts w:hint="eastAsia" w:ascii="仿宋" w:hAnsi="仿宋" w:eastAsia="仿宋" w:cs="仿宋"/>
          <w:sz w:val="24"/>
          <w:szCs w:val="24"/>
        </w:rPr>
      </w:pPr>
      <w:r>
        <w:rPr>
          <w:rFonts w:hint="eastAsia" w:ascii="仿宋" w:hAnsi="仿宋" w:eastAsia="仿宋" w:cs="仿宋"/>
          <w:sz w:val="24"/>
          <w:szCs w:val="24"/>
          <w:lang w:eastAsia="zh-CN"/>
        </w:rPr>
        <w:t xml:space="preserve">    该体系旨在弥补 NEWS2、MEWS 等通用早期预警评分在术后人群中的不足，突出术后患者病情变化的 快速性、隐匿性与个体差异性。PoRA-6 的应用不仅有助于医护人员快速识别高风险患者，缩短从风险发生到干预的时间，还能通过标准化分级和闭环提示，降低并发症率与再入院率，提升术后管理的智能化与精准化水平。</w:t>
      </w:r>
    </w:p>
    <w:p w14:paraId="31705B97">
      <w:pPr>
        <w:pStyle w:val="30"/>
        <w:keepNext w:val="0"/>
        <w:keepLines w:val="0"/>
        <w:widowControl/>
        <w:numPr>
          <w:ilvl w:val="0"/>
          <w:numId w:val="21"/>
        </w:numPr>
        <w:suppressLineNumbers w:val="0"/>
        <w:ind w:left="0" w:leftChars="0" w:right="0" w:rightChars="0" w:firstLine="0" w:firstLineChars="0"/>
        <w:rPr>
          <w:rFonts w:hint="eastAsia"/>
          <w:lang w:val="en-US" w:eastAsia="zh-CN"/>
        </w:rPr>
      </w:pPr>
      <w:r>
        <w:rPr>
          <w:rStyle w:val="141"/>
          <w:rFonts w:hint="eastAsia"/>
          <w:lang w:val="en-US" w:eastAsia="zh-CN"/>
        </w:rPr>
        <w:t>标准化预适应加速康复外科</w:t>
      </w:r>
      <w:r>
        <w:rPr>
          <w:rFonts w:hint="eastAsia"/>
          <w:lang w:val="en-US" w:eastAsia="zh-CN"/>
        </w:rPr>
        <w:t>（Standardized  for enhanced recovery after surgery ，SPC-ERAS）</w:t>
      </w:r>
    </w:p>
    <w:p w14:paraId="4EF107E7">
      <w:pPr>
        <w:pStyle w:val="30"/>
        <w:keepNext w:val="0"/>
        <w:keepLines w:val="0"/>
        <w:widowControl/>
        <w:suppressLineNumbers w:val="0"/>
        <w:rPr>
          <w:rFonts w:hint="eastAsia"/>
          <w:lang w:val="en-US" w:eastAsia="zh-CN"/>
        </w:rPr>
      </w:pPr>
      <w:r>
        <w:rPr>
          <w:rFonts w:hint="eastAsia"/>
          <w:lang w:val="en-US" w:eastAsia="zh-CN"/>
        </w:rPr>
        <w:t>（一）管理与技术：</w:t>
      </w:r>
    </w:p>
    <w:p w14:paraId="52885364">
      <w:pPr>
        <w:pStyle w:val="30"/>
        <w:keepNext w:val="0"/>
        <w:keepLines w:val="0"/>
        <w:widowControl/>
        <w:numPr>
          <w:ilvl w:val="0"/>
          <w:numId w:val="23"/>
        </w:numPr>
        <w:suppressLineNumbers w:val="0"/>
        <w:ind w:left="425" w:leftChars="0" w:hanging="425" w:firstLineChars="0"/>
        <w:rPr>
          <w:rFonts w:hint="eastAsia"/>
          <w:lang w:val="en-US" w:eastAsia="zh-CN"/>
        </w:rPr>
      </w:pPr>
      <w:r>
        <w:rPr>
          <w:rFonts w:hint="eastAsia"/>
          <w:lang w:val="en-US" w:eastAsia="zh-CN"/>
        </w:rPr>
        <w:t>涵盖12个方面的管理：体能训练、呼吸道感染防治、胃肠道功能训练与维护、VTE与肺梗塞防治、低体温预防、疼痛和不适（各种不适、PONV）和睡眠不足防治、管路管理、围术期补液酸碱平衡、围术期营养治疗、感染防治、不常规胃肠道准备、应急预案等。</w:t>
      </w:r>
    </w:p>
    <w:p w14:paraId="5DCFCD4E">
      <w:pPr>
        <w:pStyle w:val="30"/>
        <w:keepNext w:val="0"/>
        <w:keepLines w:val="0"/>
        <w:widowControl/>
        <w:numPr>
          <w:ilvl w:val="0"/>
          <w:numId w:val="23"/>
        </w:numPr>
        <w:suppressLineNumbers w:val="0"/>
        <w:ind w:left="425" w:leftChars="0" w:hanging="425" w:firstLineChars="0"/>
        <w:rPr>
          <w:rFonts w:hint="eastAsia"/>
          <w:lang w:val="en-US" w:eastAsia="zh-CN"/>
        </w:rPr>
      </w:pPr>
      <w:r>
        <w:rPr>
          <w:rFonts w:hint="eastAsia"/>
          <w:lang w:val="en-US" w:eastAsia="zh-CN"/>
        </w:rPr>
        <w:t>涵盖43个管理技术：如6问、12个适应性训练、术中限制性补液与GDT、保温毯液体保温与鼻温监测、PONV的防治、D+P缓解各种不适、管路的快下快拔、疼痛的预防、制定应急预案等。</w:t>
      </w:r>
    </w:p>
    <w:p w14:paraId="7B79FCC1">
      <w:pPr>
        <w:pStyle w:val="30"/>
        <w:keepNext w:val="0"/>
        <w:keepLines w:val="0"/>
        <w:widowControl/>
        <w:suppressLineNumbers w:val="0"/>
        <w:rPr>
          <w:rFonts w:hint="eastAsia"/>
          <w:lang w:val="en-US" w:eastAsia="zh-CN"/>
        </w:rPr>
      </w:pPr>
      <w:r>
        <w:rPr>
          <w:rFonts w:hint="eastAsia"/>
          <w:lang w:val="en-US" w:eastAsia="zh-CN"/>
        </w:rPr>
        <w:t>（二）具体流程：</w:t>
      </w:r>
    </w:p>
    <w:p w14:paraId="037A8C69">
      <w:pPr>
        <w:pStyle w:val="30"/>
        <w:keepNext w:val="0"/>
        <w:keepLines w:val="0"/>
        <w:widowControl/>
        <w:suppressLineNumbers w:val="0"/>
        <w:rPr>
          <w:rFonts w:hint="eastAsia"/>
          <w:lang w:val="en-US" w:eastAsia="zh-CN"/>
        </w:rPr>
      </w:pPr>
      <w:r>
        <w:rPr>
          <w:rFonts w:hint="eastAsia"/>
          <w:lang w:val="en-US" w:eastAsia="zh-CN"/>
        </w:rPr>
        <w:t>1.体能训练：4个预训练。</w:t>
      </w:r>
    </w:p>
    <w:p w14:paraId="3DC2850D">
      <w:pPr>
        <w:pStyle w:val="30"/>
        <w:keepNext w:val="0"/>
        <w:keepLines w:val="0"/>
        <w:widowControl/>
        <w:suppressLineNumbers w:val="0"/>
        <w:rPr>
          <w:rFonts w:hint="eastAsia"/>
          <w:lang w:val="en-US" w:eastAsia="zh-CN"/>
        </w:rPr>
      </w:pPr>
      <w:r>
        <w:rPr>
          <w:rFonts w:hint="eastAsia"/>
          <w:lang w:val="en-US" w:eastAsia="zh-CN"/>
        </w:rPr>
        <w:t>（1）体操：</w:t>
      </w:r>
    </w:p>
    <w:p w14:paraId="0F1C87C6">
      <w:pPr>
        <w:pStyle w:val="30"/>
        <w:keepNext w:val="0"/>
        <w:keepLines w:val="0"/>
        <w:widowControl/>
        <w:numPr>
          <w:ilvl w:val="0"/>
          <w:numId w:val="24"/>
        </w:numPr>
        <w:suppressLineNumbers w:val="0"/>
        <w:ind w:left="420" w:leftChars="0" w:hanging="420" w:firstLineChars="0"/>
        <w:rPr>
          <w:rFonts w:hint="eastAsia"/>
          <w:lang w:val="en-US" w:eastAsia="zh-CN"/>
        </w:rPr>
      </w:pPr>
      <w:r>
        <w:rPr>
          <w:rFonts w:hint="eastAsia"/>
          <w:lang w:val="en-US" w:eastAsia="zh-CN"/>
        </w:rPr>
        <w:t>床上体操</w:t>
      </w:r>
    </w:p>
    <w:p w14:paraId="29F154AC">
      <w:pPr>
        <w:pStyle w:val="30"/>
        <w:keepNext w:val="0"/>
        <w:keepLines w:val="0"/>
        <w:widowControl/>
        <w:numPr>
          <w:ilvl w:val="0"/>
          <w:numId w:val="24"/>
        </w:numPr>
        <w:suppressLineNumbers w:val="0"/>
        <w:ind w:left="420" w:leftChars="0" w:hanging="420" w:firstLineChars="0"/>
        <w:rPr>
          <w:rFonts w:hint="eastAsia"/>
          <w:lang w:val="en-US" w:eastAsia="zh-CN"/>
        </w:rPr>
      </w:pPr>
      <w:r>
        <w:rPr>
          <w:rFonts w:hint="eastAsia"/>
          <w:lang w:val="en-US" w:eastAsia="zh-CN"/>
        </w:rPr>
        <w:t>床边体操</w:t>
      </w:r>
    </w:p>
    <w:p w14:paraId="063C395B">
      <w:pPr>
        <w:pStyle w:val="30"/>
        <w:keepNext w:val="0"/>
        <w:keepLines w:val="0"/>
        <w:widowControl/>
        <w:numPr>
          <w:ilvl w:val="0"/>
          <w:numId w:val="24"/>
        </w:numPr>
        <w:suppressLineNumbers w:val="0"/>
        <w:ind w:left="420" w:leftChars="0" w:hanging="420" w:firstLineChars="0"/>
        <w:rPr>
          <w:rFonts w:hint="eastAsia"/>
          <w:lang w:val="en-US" w:eastAsia="zh-CN"/>
        </w:rPr>
      </w:pPr>
      <w:r>
        <w:rPr>
          <w:rFonts w:hint="eastAsia"/>
          <w:lang w:val="en-US" w:eastAsia="zh-CN"/>
        </w:rPr>
        <w:t>离床体操</w:t>
      </w:r>
    </w:p>
    <w:p w14:paraId="69864A6F">
      <w:pPr>
        <w:pStyle w:val="30"/>
        <w:keepNext w:val="0"/>
        <w:keepLines w:val="0"/>
        <w:widowControl/>
        <w:suppressLineNumbers w:val="0"/>
        <w:rPr>
          <w:rFonts w:hint="eastAsia"/>
          <w:lang w:val="en-US" w:eastAsia="zh-CN"/>
        </w:rPr>
      </w:pPr>
      <w:r>
        <w:rPr>
          <w:rFonts w:hint="eastAsia"/>
          <w:lang w:val="en-US" w:eastAsia="zh-CN"/>
        </w:rPr>
        <w:t>（2）体位性低血压防治：</w:t>
      </w:r>
    </w:p>
    <w:p w14:paraId="65CA3979">
      <w:pPr>
        <w:pStyle w:val="30"/>
        <w:keepNext w:val="0"/>
        <w:keepLines w:val="0"/>
        <w:widowControl/>
        <w:suppressLineNumbers w:val="0"/>
        <w:rPr>
          <w:rFonts w:hint="eastAsia"/>
          <w:lang w:val="en-US" w:eastAsia="zh-CN"/>
        </w:rPr>
      </w:pPr>
      <w:r>
        <w:rPr>
          <w:rFonts w:hint="eastAsia"/>
          <w:lang w:val="en-US" w:eastAsia="zh-CN"/>
        </w:rPr>
        <w:t>2.呼吸道感染防治：5个预训练。</w:t>
      </w:r>
    </w:p>
    <w:p w14:paraId="50177B4F">
      <w:pPr>
        <w:pStyle w:val="30"/>
        <w:keepNext w:val="0"/>
        <w:keepLines w:val="0"/>
        <w:widowControl/>
        <w:suppressLineNumbers w:val="0"/>
        <w:rPr>
          <w:rFonts w:hint="eastAsia"/>
          <w:lang w:val="en-US" w:eastAsia="zh-CN"/>
        </w:rPr>
      </w:pPr>
      <w:r>
        <w:rPr>
          <w:rFonts w:hint="eastAsia"/>
          <w:lang w:val="en-US" w:eastAsia="zh-CN"/>
        </w:rPr>
        <w:t>（1）吹气球预训练</w:t>
      </w:r>
    </w:p>
    <w:p w14:paraId="22BEFEE2">
      <w:pPr>
        <w:pStyle w:val="30"/>
        <w:keepNext w:val="0"/>
        <w:keepLines w:val="0"/>
        <w:widowControl/>
        <w:suppressLineNumbers w:val="0"/>
        <w:rPr>
          <w:rFonts w:hint="eastAsia"/>
          <w:lang w:val="en-US" w:eastAsia="zh-CN"/>
        </w:rPr>
      </w:pPr>
      <w:r>
        <w:rPr>
          <w:rFonts w:hint="eastAsia"/>
          <w:lang w:val="en-US" w:eastAsia="zh-CN"/>
        </w:rPr>
        <w:t>（2）胸式咳嗽预训练</w:t>
      </w:r>
    </w:p>
    <w:p w14:paraId="37CE172B">
      <w:pPr>
        <w:pStyle w:val="30"/>
        <w:keepNext w:val="0"/>
        <w:keepLines w:val="0"/>
        <w:widowControl/>
        <w:suppressLineNumbers w:val="0"/>
        <w:rPr>
          <w:rFonts w:hint="eastAsia"/>
          <w:lang w:val="en-US" w:eastAsia="zh-CN"/>
        </w:rPr>
      </w:pPr>
      <w:r>
        <w:rPr>
          <w:rFonts w:hint="eastAsia"/>
          <w:lang w:val="en-US" w:eastAsia="zh-CN"/>
        </w:rPr>
        <w:t>（3）排痰仪预训练</w:t>
      </w:r>
    </w:p>
    <w:p w14:paraId="658A850F">
      <w:pPr>
        <w:pStyle w:val="30"/>
        <w:keepNext w:val="0"/>
        <w:keepLines w:val="0"/>
        <w:widowControl/>
        <w:suppressLineNumbers w:val="0"/>
        <w:rPr>
          <w:rFonts w:hint="eastAsia"/>
          <w:lang w:val="en-US" w:eastAsia="zh-CN"/>
        </w:rPr>
      </w:pPr>
      <w:r>
        <w:rPr>
          <w:rFonts w:hint="eastAsia"/>
          <w:lang w:val="en-US" w:eastAsia="zh-CN"/>
        </w:rPr>
        <w:t>（4）无创呼吸机预训练</w:t>
      </w:r>
    </w:p>
    <w:p w14:paraId="402782BE">
      <w:pPr>
        <w:pStyle w:val="30"/>
        <w:keepNext w:val="0"/>
        <w:keepLines w:val="0"/>
        <w:widowControl/>
        <w:suppressLineNumbers w:val="0"/>
        <w:rPr>
          <w:rFonts w:hint="eastAsia"/>
          <w:lang w:val="en-US" w:eastAsia="zh-CN"/>
        </w:rPr>
      </w:pPr>
      <w:r>
        <w:rPr>
          <w:rFonts w:hint="eastAsia"/>
          <w:lang w:val="en-US" w:eastAsia="zh-CN"/>
        </w:rPr>
        <w:t>（5）体位引流训练</w:t>
      </w:r>
    </w:p>
    <w:p w14:paraId="478C2F32">
      <w:pPr>
        <w:pStyle w:val="30"/>
        <w:keepNext w:val="0"/>
        <w:keepLines w:val="0"/>
        <w:widowControl/>
        <w:suppressLineNumbers w:val="0"/>
        <w:rPr>
          <w:rFonts w:hint="eastAsia"/>
          <w:lang w:val="en-US" w:eastAsia="zh-CN"/>
        </w:rPr>
      </w:pPr>
      <w:r>
        <w:rPr>
          <w:rFonts w:hint="eastAsia"/>
          <w:lang w:val="en-US" w:eastAsia="zh-CN"/>
        </w:rPr>
        <w:t>（6）雾化吸入</w:t>
      </w:r>
    </w:p>
    <w:p w14:paraId="013EC2F7">
      <w:pPr>
        <w:pStyle w:val="30"/>
        <w:keepNext w:val="0"/>
        <w:keepLines w:val="0"/>
        <w:widowControl/>
        <w:suppressLineNumbers w:val="0"/>
        <w:rPr>
          <w:rFonts w:hint="eastAsia"/>
          <w:lang w:val="en-US" w:eastAsia="zh-CN"/>
        </w:rPr>
      </w:pPr>
      <w:r>
        <w:rPr>
          <w:rFonts w:hint="eastAsia"/>
          <w:lang w:val="en-US" w:eastAsia="zh-CN"/>
        </w:rPr>
        <w:t>3.胃肠功能训练与维护：2个预训练。</w:t>
      </w:r>
    </w:p>
    <w:p w14:paraId="4E1C5E96">
      <w:pPr>
        <w:pStyle w:val="30"/>
        <w:keepNext w:val="0"/>
        <w:keepLines w:val="0"/>
        <w:widowControl/>
        <w:suppressLineNumbers w:val="0"/>
        <w:rPr>
          <w:rFonts w:hint="eastAsia"/>
          <w:lang w:val="en-US" w:eastAsia="zh-CN"/>
        </w:rPr>
      </w:pPr>
      <w:r>
        <w:rPr>
          <w:rFonts w:hint="eastAsia"/>
          <w:lang w:val="en-US" w:eastAsia="zh-CN"/>
        </w:rPr>
        <w:t>（1）咀嚼口香糖预训练</w:t>
      </w:r>
    </w:p>
    <w:p w14:paraId="4E9F368A">
      <w:pPr>
        <w:pStyle w:val="30"/>
        <w:keepNext w:val="0"/>
        <w:keepLines w:val="0"/>
        <w:widowControl/>
        <w:suppressLineNumbers w:val="0"/>
        <w:rPr>
          <w:rFonts w:hint="eastAsia"/>
          <w:lang w:val="en-US" w:eastAsia="zh-CN"/>
        </w:rPr>
      </w:pPr>
      <w:r>
        <w:rPr>
          <w:rFonts w:hint="eastAsia"/>
          <w:lang w:val="en-US" w:eastAsia="zh-CN"/>
        </w:rPr>
        <w:t>（2）口服营养液预训练</w:t>
      </w:r>
    </w:p>
    <w:p w14:paraId="0446FF5B">
      <w:pPr>
        <w:pStyle w:val="30"/>
        <w:keepNext w:val="0"/>
        <w:keepLines w:val="0"/>
        <w:widowControl/>
        <w:suppressLineNumbers w:val="0"/>
        <w:rPr>
          <w:rFonts w:hint="eastAsia"/>
          <w:lang w:val="en-US" w:eastAsia="zh-CN"/>
        </w:rPr>
      </w:pPr>
      <w:r>
        <w:rPr>
          <w:rFonts w:hint="eastAsia"/>
          <w:lang w:val="en-US" w:eastAsia="zh-CN"/>
        </w:rPr>
        <w:t>（3）6问：是否恶心、是否呕吐、是否腹胀、是否返流、是否腹痛、是否呃逆。</w:t>
      </w:r>
    </w:p>
    <w:p w14:paraId="6A6B52A8">
      <w:pPr>
        <w:pStyle w:val="30"/>
        <w:keepNext w:val="0"/>
        <w:keepLines w:val="0"/>
        <w:widowControl/>
        <w:suppressLineNumbers w:val="0"/>
        <w:rPr>
          <w:rFonts w:hint="eastAsia"/>
          <w:lang w:val="en-US" w:eastAsia="zh-CN"/>
        </w:rPr>
      </w:pPr>
      <w:r>
        <w:rPr>
          <w:rFonts w:hint="eastAsia"/>
          <w:lang w:val="en-US" w:eastAsia="zh-CN"/>
        </w:rPr>
        <w:t>（4）胃潴留的防治</w:t>
      </w:r>
    </w:p>
    <w:p w14:paraId="3872E817">
      <w:pPr>
        <w:pStyle w:val="30"/>
        <w:keepNext w:val="0"/>
        <w:keepLines w:val="0"/>
        <w:widowControl/>
        <w:numPr>
          <w:ilvl w:val="0"/>
          <w:numId w:val="24"/>
        </w:numPr>
        <w:suppressLineNumbers w:val="0"/>
        <w:ind w:left="420" w:leftChars="0" w:hanging="420" w:firstLineChars="0"/>
        <w:rPr>
          <w:rFonts w:hint="eastAsia"/>
          <w:lang w:val="en-US" w:eastAsia="zh-CN"/>
        </w:rPr>
      </w:pPr>
      <w:r>
        <w:rPr>
          <w:rFonts w:hint="eastAsia"/>
          <w:lang w:val="en-US" w:eastAsia="zh-CN"/>
        </w:rPr>
        <w:t>将胃超声作为常规检查</w:t>
      </w:r>
    </w:p>
    <w:p w14:paraId="0DD7566B">
      <w:pPr>
        <w:pStyle w:val="30"/>
        <w:keepNext w:val="0"/>
        <w:keepLines w:val="0"/>
        <w:widowControl/>
        <w:suppressLineNumbers w:val="0"/>
        <w:rPr>
          <w:rFonts w:hint="eastAsia"/>
          <w:lang w:val="en-US" w:eastAsia="zh-CN"/>
        </w:rPr>
      </w:pPr>
      <w:r>
        <w:rPr>
          <w:rFonts w:hint="eastAsia"/>
          <w:lang w:val="en-US" w:eastAsia="zh-CN"/>
        </w:rPr>
        <w:t>4.静脉血栓与肺梗塞防治：1个预训练。</w:t>
      </w:r>
    </w:p>
    <w:p w14:paraId="4D87FEC6">
      <w:pPr>
        <w:pStyle w:val="30"/>
        <w:keepNext w:val="0"/>
        <w:keepLines w:val="0"/>
        <w:widowControl/>
        <w:suppressLineNumbers w:val="0"/>
        <w:rPr>
          <w:rFonts w:hint="eastAsia"/>
          <w:lang w:val="en-US" w:eastAsia="zh-CN"/>
        </w:rPr>
      </w:pPr>
      <w:r>
        <w:rPr>
          <w:rFonts w:hint="eastAsia"/>
          <w:lang w:val="en-US" w:eastAsia="zh-CN"/>
        </w:rPr>
        <w:t>（1）曲踝运动预训练</w:t>
      </w:r>
    </w:p>
    <w:p w14:paraId="120DA6D8">
      <w:pPr>
        <w:pStyle w:val="30"/>
        <w:keepNext w:val="0"/>
        <w:keepLines w:val="0"/>
        <w:widowControl/>
        <w:suppressLineNumbers w:val="0"/>
        <w:rPr>
          <w:rFonts w:hint="eastAsia"/>
          <w:lang w:val="en-US" w:eastAsia="zh-CN"/>
        </w:rPr>
      </w:pPr>
      <w:r>
        <w:rPr>
          <w:rFonts w:hint="eastAsia"/>
          <w:lang w:val="en-US" w:eastAsia="zh-CN"/>
        </w:rPr>
        <w:t>（2）穿弹力袜</w:t>
      </w:r>
    </w:p>
    <w:p w14:paraId="3CE9E5D1">
      <w:pPr>
        <w:pStyle w:val="30"/>
        <w:keepNext w:val="0"/>
        <w:keepLines w:val="0"/>
        <w:widowControl/>
        <w:suppressLineNumbers w:val="0"/>
        <w:rPr>
          <w:rFonts w:hint="eastAsia"/>
          <w:lang w:val="en-US" w:eastAsia="zh-CN"/>
        </w:rPr>
      </w:pPr>
      <w:r>
        <w:rPr>
          <w:rFonts w:hint="eastAsia"/>
          <w:lang w:val="en-US" w:eastAsia="zh-CN"/>
        </w:rPr>
        <w:t>（3）穿压力裤</w:t>
      </w:r>
    </w:p>
    <w:p w14:paraId="28BF0585">
      <w:pPr>
        <w:pStyle w:val="30"/>
        <w:keepNext w:val="0"/>
        <w:keepLines w:val="0"/>
        <w:widowControl/>
        <w:suppressLineNumbers w:val="0"/>
        <w:rPr>
          <w:rFonts w:hint="eastAsia"/>
          <w:lang w:val="en-US" w:eastAsia="zh-CN"/>
        </w:rPr>
      </w:pPr>
      <w:r>
        <w:rPr>
          <w:rFonts w:hint="eastAsia"/>
          <w:lang w:val="en-US" w:eastAsia="zh-CN"/>
        </w:rPr>
        <w:t>（4）注射肝素钙</w:t>
      </w:r>
    </w:p>
    <w:p w14:paraId="38C45632">
      <w:pPr>
        <w:pStyle w:val="30"/>
        <w:keepNext w:val="0"/>
        <w:keepLines w:val="0"/>
        <w:widowControl/>
        <w:suppressLineNumbers w:val="0"/>
        <w:rPr>
          <w:rFonts w:hint="eastAsia"/>
          <w:lang w:val="en-US" w:eastAsia="zh-CN"/>
        </w:rPr>
      </w:pPr>
      <w:r>
        <w:rPr>
          <w:rFonts w:hint="eastAsia"/>
          <w:lang w:val="en-US" w:eastAsia="zh-CN"/>
        </w:rPr>
        <w:t>（5）将下肢静脉超声作为常规检查</w:t>
      </w:r>
    </w:p>
    <w:p w14:paraId="54011A69">
      <w:pPr>
        <w:pStyle w:val="30"/>
        <w:keepNext w:val="0"/>
        <w:keepLines w:val="0"/>
        <w:widowControl/>
        <w:suppressLineNumbers w:val="0"/>
        <w:rPr>
          <w:rFonts w:hint="eastAsia"/>
          <w:lang w:val="en-US" w:eastAsia="zh-CN"/>
        </w:rPr>
      </w:pPr>
      <w:r>
        <w:rPr>
          <w:rFonts w:hint="eastAsia"/>
          <w:lang w:val="en-US" w:eastAsia="zh-CN"/>
        </w:rPr>
        <w:t>5.疼痛、不适与睡眠不足的防治：</w:t>
      </w:r>
    </w:p>
    <w:p w14:paraId="51039C29">
      <w:pPr>
        <w:pStyle w:val="30"/>
        <w:keepNext w:val="0"/>
        <w:keepLines w:val="0"/>
        <w:widowControl/>
        <w:suppressLineNumbers w:val="0"/>
        <w:rPr>
          <w:rFonts w:hint="eastAsia"/>
          <w:lang w:val="en-US" w:eastAsia="zh-CN"/>
        </w:rPr>
      </w:pPr>
      <w:r>
        <w:rPr>
          <w:rFonts w:hint="eastAsia"/>
          <w:lang w:val="en-US" w:eastAsia="zh-CN"/>
        </w:rPr>
        <w:t>（1）疼痛防治：</w:t>
      </w:r>
    </w:p>
    <w:p w14:paraId="36E62974">
      <w:pPr>
        <w:pStyle w:val="30"/>
        <w:keepNext w:val="0"/>
        <w:keepLines w:val="0"/>
        <w:widowControl/>
        <w:numPr>
          <w:ilvl w:val="0"/>
          <w:numId w:val="24"/>
        </w:numPr>
        <w:suppressLineNumbers w:val="0"/>
        <w:ind w:left="420" w:leftChars="0" w:hanging="420" w:firstLineChars="0"/>
        <w:rPr>
          <w:rFonts w:hint="eastAsia"/>
          <w:lang w:val="en-US" w:eastAsia="zh-CN"/>
        </w:rPr>
      </w:pPr>
      <w:r>
        <w:rPr>
          <w:rFonts w:hint="eastAsia"/>
          <w:lang w:val="en-US" w:eastAsia="zh-CN"/>
        </w:rPr>
        <w:t>多模式镇痛：术中TAP、切口局麻封闭、</w:t>
      </w:r>
    </w:p>
    <w:p w14:paraId="76D27990">
      <w:pPr>
        <w:pStyle w:val="30"/>
        <w:keepNext w:val="0"/>
        <w:keepLines w:val="0"/>
        <w:widowControl/>
        <w:numPr>
          <w:ilvl w:val="0"/>
          <w:numId w:val="24"/>
        </w:numPr>
        <w:suppressLineNumbers w:val="0"/>
        <w:ind w:left="420" w:leftChars="0" w:hanging="420" w:firstLineChars="0"/>
        <w:rPr>
          <w:rFonts w:hint="eastAsia"/>
          <w:lang w:val="en-US" w:eastAsia="zh-CN"/>
        </w:rPr>
      </w:pPr>
      <w:r>
        <w:rPr>
          <w:rFonts w:hint="eastAsia"/>
          <w:lang w:val="en-US" w:eastAsia="zh-CN"/>
        </w:rPr>
        <w:t>定时给药：</w:t>
      </w:r>
    </w:p>
    <w:p w14:paraId="28E2B79C">
      <w:pPr>
        <w:pStyle w:val="30"/>
        <w:keepNext w:val="0"/>
        <w:keepLines w:val="0"/>
        <w:widowControl/>
        <w:suppressLineNumbers w:val="0"/>
        <w:rPr>
          <w:rFonts w:hint="eastAsia"/>
          <w:lang w:val="en-US" w:eastAsia="zh-CN"/>
        </w:rPr>
      </w:pPr>
      <w:r>
        <w:rPr>
          <w:rFonts w:hint="eastAsia"/>
          <w:lang w:val="en-US" w:eastAsia="zh-CN"/>
        </w:rPr>
        <w:t>（2）不适治疗：如各种管道引起的不适。D+P治疗不适，杜冷丁50mg+非那根25mg半量或全量肌注。</w:t>
      </w:r>
    </w:p>
    <w:p w14:paraId="62EE6658">
      <w:pPr>
        <w:pStyle w:val="30"/>
        <w:keepNext w:val="0"/>
        <w:keepLines w:val="0"/>
        <w:widowControl/>
        <w:suppressLineNumbers w:val="0"/>
        <w:rPr>
          <w:rFonts w:hint="eastAsia"/>
          <w:lang w:val="en-US" w:eastAsia="zh-CN"/>
        </w:rPr>
      </w:pPr>
      <w:r>
        <w:rPr>
          <w:rFonts w:hint="eastAsia"/>
          <w:lang w:val="en-US" w:eastAsia="zh-CN"/>
        </w:rPr>
        <w:t>（3）术后恶心、呕吐（PONV）的防治</w:t>
      </w:r>
    </w:p>
    <w:p w14:paraId="27E6A697">
      <w:pPr>
        <w:pStyle w:val="30"/>
        <w:keepNext w:val="0"/>
        <w:keepLines w:val="0"/>
        <w:widowControl/>
        <w:suppressLineNumbers w:val="0"/>
        <w:rPr>
          <w:rFonts w:hint="eastAsia"/>
          <w:lang w:val="en-US" w:eastAsia="zh-CN"/>
        </w:rPr>
      </w:pPr>
      <w:r>
        <w:rPr>
          <w:rFonts w:hint="eastAsia"/>
          <w:lang w:val="en-US" w:eastAsia="zh-CN"/>
        </w:rPr>
        <w:t>（4）睡眠不足的防治</w:t>
      </w:r>
    </w:p>
    <w:p w14:paraId="56EEF5F6">
      <w:pPr>
        <w:pStyle w:val="30"/>
        <w:keepNext w:val="0"/>
        <w:keepLines w:val="0"/>
        <w:widowControl/>
        <w:suppressLineNumbers w:val="0"/>
        <w:rPr>
          <w:rFonts w:hint="eastAsia"/>
          <w:lang w:val="en-US" w:eastAsia="zh-CN"/>
        </w:rPr>
      </w:pPr>
      <w:r>
        <w:rPr>
          <w:rFonts w:hint="eastAsia"/>
          <w:lang w:val="en-US" w:eastAsia="zh-CN"/>
        </w:rPr>
        <w:t>6.低体温预防：尤以术中为重点。</w:t>
      </w:r>
    </w:p>
    <w:p w14:paraId="7A37707C">
      <w:pPr>
        <w:pStyle w:val="30"/>
        <w:keepNext w:val="0"/>
        <w:keepLines w:val="0"/>
        <w:widowControl/>
        <w:suppressLineNumbers w:val="0"/>
        <w:rPr>
          <w:rFonts w:hint="eastAsia"/>
          <w:lang w:val="en-US" w:eastAsia="zh-CN"/>
        </w:rPr>
      </w:pPr>
      <w:r>
        <w:rPr>
          <w:rFonts w:hint="eastAsia"/>
          <w:lang w:val="en-US" w:eastAsia="zh-CN"/>
        </w:rPr>
        <w:t>（1）术中</w:t>
      </w:r>
    </w:p>
    <w:p w14:paraId="5ED0E4A3">
      <w:pPr>
        <w:pStyle w:val="30"/>
        <w:keepNext w:val="0"/>
        <w:keepLines w:val="0"/>
        <w:widowControl/>
        <w:suppressLineNumbers w:val="0"/>
        <w:rPr>
          <w:rFonts w:hint="eastAsia"/>
          <w:lang w:val="en-US" w:eastAsia="zh-CN"/>
        </w:rPr>
      </w:pPr>
      <w:r>
        <w:rPr>
          <w:rFonts w:hint="eastAsia"/>
          <w:lang w:val="en-US" w:eastAsia="zh-CN"/>
        </w:rPr>
        <w:t>（2）环境温度调节</w:t>
      </w:r>
    </w:p>
    <w:p w14:paraId="51E14337">
      <w:pPr>
        <w:pStyle w:val="30"/>
        <w:keepNext w:val="0"/>
        <w:keepLines w:val="0"/>
        <w:widowControl/>
        <w:suppressLineNumbers w:val="0"/>
        <w:rPr>
          <w:rFonts w:hint="eastAsia"/>
          <w:lang w:val="en-US" w:eastAsia="zh-CN"/>
        </w:rPr>
      </w:pPr>
      <w:r>
        <w:rPr>
          <w:rFonts w:hint="eastAsia"/>
          <w:lang w:val="en-US" w:eastAsia="zh-CN"/>
        </w:rPr>
        <w:t>（3）液体温度管理：静脉液体、冲洗液体</w:t>
      </w:r>
    </w:p>
    <w:p w14:paraId="551DEA0D">
      <w:pPr>
        <w:pStyle w:val="30"/>
        <w:keepNext w:val="0"/>
        <w:keepLines w:val="0"/>
        <w:widowControl/>
        <w:suppressLineNumbers w:val="0"/>
        <w:rPr>
          <w:rFonts w:hint="eastAsia"/>
          <w:lang w:val="en-US" w:eastAsia="zh-CN"/>
        </w:rPr>
      </w:pPr>
      <w:r>
        <w:rPr>
          <w:rFonts w:hint="eastAsia"/>
          <w:lang w:val="en-US" w:eastAsia="zh-CN"/>
        </w:rPr>
        <w:t>（4）保温毯液体保温与鼻温监测</w:t>
      </w:r>
    </w:p>
    <w:p w14:paraId="56273F1F">
      <w:pPr>
        <w:pStyle w:val="30"/>
        <w:keepNext w:val="0"/>
        <w:keepLines w:val="0"/>
        <w:widowControl/>
        <w:suppressLineNumbers w:val="0"/>
        <w:rPr>
          <w:rFonts w:hint="eastAsia"/>
          <w:lang w:val="en-US" w:eastAsia="zh-CN"/>
        </w:rPr>
      </w:pPr>
      <w:r>
        <w:rPr>
          <w:rFonts w:hint="eastAsia"/>
          <w:lang w:val="en-US" w:eastAsia="zh-CN"/>
        </w:rPr>
        <w:t>（5）术后：环境温度；静脉液体、包括血制品复温；肠内营养液。</w:t>
      </w:r>
    </w:p>
    <w:p w14:paraId="68E04F71">
      <w:pPr>
        <w:pStyle w:val="30"/>
        <w:keepNext w:val="0"/>
        <w:keepLines w:val="0"/>
        <w:widowControl/>
        <w:suppressLineNumbers w:val="0"/>
        <w:rPr>
          <w:rFonts w:hint="eastAsia"/>
          <w:lang w:val="en-US" w:eastAsia="zh-CN"/>
        </w:rPr>
      </w:pPr>
      <w:r>
        <w:rPr>
          <w:rFonts w:hint="eastAsia"/>
          <w:lang w:val="en-US" w:eastAsia="zh-CN"/>
        </w:rPr>
        <w:t>7.管道管理：</w:t>
      </w:r>
    </w:p>
    <w:p w14:paraId="0A1D6059">
      <w:pPr>
        <w:pStyle w:val="30"/>
        <w:keepNext w:val="0"/>
        <w:keepLines w:val="0"/>
        <w:widowControl/>
        <w:suppressLineNumbers w:val="0"/>
        <w:rPr>
          <w:rFonts w:hint="eastAsia"/>
          <w:lang w:val="en-US" w:eastAsia="zh-CN"/>
        </w:rPr>
      </w:pPr>
      <w:r>
        <w:rPr>
          <w:rFonts w:hint="eastAsia"/>
          <w:lang w:val="en-US" w:eastAsia="zh-CN"/>
        </w:rPr>
        <w:t>（1）胃管：常规不下胃管。</w:t>
      </w:r>
    </w:p>
    <w:p w14:paraId="6E6020E2">
      <w:pPr>
        <w:pStyle w:val="30"/>
        <w:keepNext w:val="0"/>
        <w:keepLines w:val="0"/>
        <w:widowControl/>
        <w:suppressLineNumbers w:val="0"/>
        <w:rPr>
          <w:rFonts w:hint="eastAsia"/>
          <w:lang w:val="en-US" w:eastAsia="zh-CN"/>
        </w:rPr>
      </w:pPr>
      <w:r>
        <w:rPr>
          <w:rFonts w:hint="eastAsia"/>
          <w:lang w:val="en-US" w:eastAsia="zh-CN"/>
        </w:rPr>
        <w:t>（2）导尿管：预防留置导尿管引起的膀胱刺激症状（CRBD）和尿路感染。</w:t>
      </w:r>
    </w:p>
    <w:p w14:paraId="2768E65D">
      <w:pPr>
        <w:pStyle w:val="30"/>
        <w:keepNext w:val="0"/>
        <w:keepLines w:val="0"/>
        <w:widowControl/>
        <w:suppressLineNumbers w:val="0"/>
        <w:rPr>
          <w:rFonts w:hint="eastAsia"/>
          <w:lang w:val="en-US" w:eastAsia="zh-CN"/>
        </w:rPr>
      </w:pPr>
      <w:r>
        <w:rPr>
          <w:rFonts w:hint="eastAsia"/>
          <w:lang w:val="en-US" w:eastAsia="zh-CN"/>
        </w:rPr>
        <w:t>（3）术中下导尿管。</w:t>
      </w:r>
    </w:p>
    <w:p w14:paraId="635B984A">
      <w:pPr>
        <w:pStyle w:val="30"/>
        <w:keepNext w:val="0"/>
        <w:keepLines w:val="0"/>
        <w:widowControl/>
        <w:suppressLineNumbers w:val="0"/>
        <w:rPr>
          <w:rFonts w:hint="eastAsia"/>
          <w:lang w:val="en-US" w:eastAsia="zh-CN"/>
        </w:rPr>
      </w:pPr>
      <w:r>
        <w:rPr>
          <w:rFonts w:hint="eastAsia"/>
          <w:lang w:val="en-US" w:eastAsia="zh-CN"/>
        </w:rPr>
        <w:t>（4）常规早期拔除导尿管。</w:t>
      </w:r>
    </w:p>
    <w:p w14:paraId="6FF3453A">
      <w:pPr>
        <w:pStyle w:val="30"/>
        <w:keepNext w:val="0"/>
        <w:keepLines w:val="0"/>
        <w:widowControl/>
        <w:suppressLineNumbers w:val="0"/>
        <w:rPr>
          <w:rFonts w:hint="eastAsia"/>
          <w:lang w:val="en-US" w:eastAsia="zh-CN"/>
        </w:rPr>
      </w:pPr>
      <w:r>
        <w:rPr>
          <w:rFonts w:hint="eastAsia"/>
          <w:lang w:val="en-US" w:eastAsia="zh-CN"/>
        </w:rPr>
        <w:t>（5）留置时间超过48小时者，考虑使用细管膀胱造瘘。</w:t>
      </w:r>
    </w:p>
    <w:p w14:paraId="4959EE11">
      <w:pPr>
        <w:pStyle w:val="30"/>
        <w:keepNext w:val="0"/>
        <w:keepLines w:val="0"/>
        <w:widowControl/>
        <w:suppressLineNumbers w:val="0"/>
        <w:rPr>
          <w:rFonts w:hint="eastAsia"/>
          <w:lang w:val="en-US" w:eastAsia="zh-CN"/>
        </w:rPr>
      </w:pPr>
      <w:r>
        <w:rPr>
          <w:rFonts w:hint="eastAsia"/>
          <w:lang w:val="en-US" w:eastAsia="zh-CN"/>
        </w:rPr>
        <w:t>（6）引流管：不用或尽可能用细的、不易压扁的管子。</w:t>
      </w:r>
    </w:p>
    <w:p w14:paraId="19A5D4E7">
      <w:pPr>
        <w:pStyle w:val="30"/>
        <w:keepNext w:val="0"/>
        <w:keepLines w:val="0"/>
        <w:widowControl/>
        <w:suppressLineNumbers w:val="0"/>
        <w:rPr>
          <w:rFonts w:hint="eastAsia"/>
          <w:lang w:val="en-US" w:eastAsia="zh-CN"/>
        </w:rPr>
      </w:pPr>
      <w:r>
        <w:rPr>
          <w:rFonts w:hint="eastAsia"/>
          <w:lang w:val="en-US" w:eastAsia="zh-CN"/>
        </w:rPr>
        <w:t>（7）管路的“快插快拔”：需要时毫不犹豫的下，不需要时，毫不犹豫的拔。</w:t>
      </w:r>
    </w:p>
    <w:p w14:paraId="10143732">
      <w:pPr>
        <w:pStyle w:val="30"/>
        <w:keepNext w:val="0"/>
        <w:keepLines w:val="0"/>
        <w:widowControl/>
        <w:suppressLineNumbers w:val="0"/>
        <w:rPr>
          <w:rFonts w:hint="eastAsia"/>
          <w:lang w:val="en-US" w:eastAsia="zh-CN"/>
        </w:rPr>
      </w:pPr>
      <w:r>
        <w:rPr>
          <w:rFonts w:hint="eastAsia"/>
          <w:lang w:val="en-US" w:eastAsia="zh-CN"/>
        </w:rPr>
        <w:t>（8）管路的固定：</w:t>
      </w:r>
    </w:p>
    <w:p w14:paraId="783C8AF1">
      <w:pPr>
        <w:pStyle w:val="30"/>
        <w:keepNext w:val="0"/>
        <w:keepLines w:val="0"/>
        <w:widowControl/>
        <w:numPr>
          <w:ilvl w:val="0"/>
          <w:numId w:val="24"/>
        </w:numPr>
        <w:suppressLineNumbers w:val="0"/>
        <w:ind w:left="420" w:leftChars="0" w:hanging="420" w:firstLineChars="0"/>
        <w:rPr>
          <w:rFonts w:hint="eastAsia"/>
          <w:lang w:val="en-US" w:eastAsia="zh-CN"/>
        </w:rPr>
      </w:pPr>
      <w:r>
        <w:rPr>
          <w:rFonts w:hint="eastAsia"/>
          <w:lang w:val="en-US" w:eastAsia="zh-CN"/>
        </w:rPr>
        <w:t>牢固固定：管子上至少缠固3cm。</w:t>
      </w:r>
    </w:p>
    <w:p w14:paraId="4DA9E5DE">
      <w:pPr>
        <w:pStyle w:val="30"/>
        <w:keepNext w:val="0"/>
        <w:keepLines w:val="0"/>
        <w:widowControl/>
        <w:numPr>
          <w:ilvl w:val="0"/>
          <w:numId w:val="24"/>
        </w:numPr>
        <w:suppressLineNumbers w:val="0"/>
        <w:ind w:left="420" w:leftChars="0" w:hanging="420" w:firstLineChars="0"/>
        <w:rPr>
          <w:rFonts w:hint="eastAsia"/>
          <w:lang w:val="en-US" w:eastAsia="zh-CN"/>
        </w:rPr>
      </w:pPr>
      <w:r>
        <w:rPr>
          <w:rFonts w:hint="eastAsia"/>
          <w:lang w:val="en-US" w:eastAsia="zh-CN"/>
        </w:rPr>
        <w:t>每日清洗皮肤、更换固定位置。</w:t>
      </w:r>
    </w:p>
    <w:p w14:paraId="47B04F50">
      <w:pPr>
        <w:pStyle w:val="30"/>
        <w:keepNext w:val="0"/>
        <w:keepLines w:val="0"/>
        <w:widowControl/>
        <w:suppressLineNumbers w:val="0"/>
        <w:rPr>
          <w:rFonts w:hint="eastAsia"/>
          <w:lang w:val="en-US" w:eastAsia="zh-CN"/>
        </w:rPr>
      </w:pPr>
      <w:r>
        <w:rPr>
          <w:rFonts w:hint="eastAsia"/>
          <w:lang w:val="en-US" w:eastAsia="zh-CN"/>
        </w:rPr>
        <w:t>8.围术期液体治疗与酸碱平衡：</w:t>
      </w:r>
    </w:p>
    <w:p w14:paraId="68E9B02F">
      <w:pPr>
        <w:pStyle w:val="30"/>
        <w:keepNext w:val="0"/>
        <w:keepLines w:val="0"/>
        <w:widowControl/>
        <w:suppressLineNumbers w:val="0"/>
        <w:rPr>
          <w:rFonts w:hint="eastAsia"/>
          <w:lang w:val="en-US" w:eastAsia="zh-CN"/>
        </w:rPr>
      </w:pPr>
      <w:r>
        <w:rPr>
          <w:rFonts w:hint="eastAsia"/>
          <w:lang w:val="en-US" w:eastAsia="zh-CN"/>
        </w:rPr>
        <w:t>（1）水电解质与酸碱平衡</w:t>
      </w:r>
    </w:p>
    <w:p w14:paraId="111409D8">
      <w:pPr>
        <w:pStyle w:val="30"/>
        <w:keepNext w:val="0"/>
        <w:keepLines w:val="0"/>
        <w:widowControl/>
        <w:suppressLineNumbers w:val="0"/>
        <w:rPr>
          <w:rFonts w:hint="eastAsia"/>
          <w:lang w:val="en-US" w:eastAsia="zh-CN"/>
        </w:rPr>
      </w:pPr>
      <w:r>
        <w:rPr>
          <w:rFonts w:hint="eastAsia"/>
          <w:lang w:val="en-US" w:eastAsia="zh-CN"/>
        </w:rPr>
        <w:t>（2）术中限制性补液与目标导向液体治疗（GDT）</w:t>
      </w:r>
    </w:p>
    <w:p w14:paraId="35FFFDA0">
      <w:pPr>
        <w:pStyle w:val="30"/>
        <w:keepNext w:val="0"/>
        <w:keepLines w:val="0"/>
        <w:widowControl/>
        <w:suppressLineNumbers w:val="0"/>
        <w:rPr>
          <w:rFonts w:hint="eastAsia"/>
          <w:lang w:val="en-US" w:eastAsia="zh-CN"/>
        </w:rPr>
      </w:pPr>
      <w:r>
        <w:rPr>
          <w:rFonts w:hint="eastAsia"/>
          <w:lang w:val="en-US" w:eastAsia="zh-CN"/>
        </w:rPr>
        <w:t>（3）高碳酸血症的防治</w:t>
      </w:r>
    </w:p>
    <w:p w14:paraId="54CED185">
      <w:pPr>
        <w:pStyle w:val="30"/>
        <w:keepNext w:val="0"/>
        <w:keepLines w:val="0"/>
        <w:widowControl/>
        <w:suppressLineNumbers w:val="0"/>
        <w:rPr>
          <w:rFonts w:hint="eastAsia"/>
          <w:lang w:val="en-US" w:eastAsia="zh-CN"/>
        </w:rPr>
      </w:pPr>
      <w:r>
        <w:rPr>
          <w:rFonts w:hint="eastAsia"/>
          <w:lang w:val="en-US" w:eastAsia="zh-CN"/>
        </w:rPr>
        <w:t>（4）低血容量休克的防治</w:t>
      </w:r>
    </w:p>
    <w:p w14:paraId="24548502">
      <w:pPr>
        <w:pStyle w:val="30"/>
        <w:keepNext w:val="0"/>
        <w:keepLines w:val="0"/>
        <w:widowControl/>
        <w:suppressLineNumbers w:val="0"/>
        <w:rPr>
          <w:rFonts w:hint="eastAsia"/>
          <w:lang w:val="en-US" w:eastAsia="zh-CN"/>
        </w:rPr>
      </w:pPr>
      <w:r>
        <w:rPr>
          <w:rFonts w:hint="eastAsia"/>
          <w:lang w:val="en-US" w:eastAsia="zh-CN"/>
        </w:rPr>
        <w:t>（5）激素使用：在血容量补足的情况下，大剂量、短时间冲击治疗。一般使用1～2次。</w:t>
      </w:r>
    </w:p>
    <w:p w14:paraId="6C79AB9F">
      <w:pPr>
        <w:pStyle w:val="30"/>
        <w:keepNext w:val="0"/>
        <w:keepLines w:val="0"/>
        <w:widowControl/>
        <w:suppressLineNumbers w:val="0"/>
        <w:rPr>
          <w:rFonts w:hint="eastAsia"/>
          <w:lang w:val="en-US" w:eastAsia="zh-CN"/>
        </w:rPr>
      </w:pPr>
      <w:r>
        <w:rPr>
          <w:rFonts w:hint="eastAsia"/>
          <w:lang w:val="en-US" w:eastAsia="zh-CN"/>
        </w:rPr>
        <w:t>（6）严格限制胶体的使用</w:t>
      </w:r>
    </w:p>
    <w:p w14:paraId="6E1D61BA">
      <w:pPr>
        <w:pStyle w:val="30"/>
        <w:keepNext w:val="0"/>
        <w:keepLines w:val="0"/>
        <w:widowControl/>
        <w:suppressLineNumbers w:val="0"/>
        <w:rPr>
          <w:rFonts w:hint="eastAsia"/>
          <w:lang w:val="en-US" w:eastAsia="zh-CN"/>
        </w:rPr>
      </w:pPr>
      <w:r>
        <w:rPr>
          <w:rFonts w:hint="eastAsia"/>
          <w:lang w:val="en-US" w:eastAsia="zh-CN"/>
        </w:rPr>
        <w:t>9.围术期营养支持与治疗：</w:t>
      </w:r>
    </w:p>
    <w:p w14:paraId="04A26191">
      <w:pPr>
        <w:pStyle w:val="30"/>
        <w:keepNext w:val="0"/>
        <w:keepLines w:val="0"/>
        <w:widowControl/>
        <w:suppressLineNumbers w:val="0"/>
        <w:rPr>
          <w:rFonts w:hint="eastAsia"/>
          <w:lang w:val="en-US" w:eastAsia="zh-CN"/>
        </w:rPr>
      </w:pPr>
      <w:r>
        <w:rPr>
          <w:rFonts w:hint="eastAsia"/>
          <w:lang w:val="en-US" w:eastAsia="zh-CN"/>
        </w:rPr>
        <w:t>（1）标准化营养支持与治疗</w:t>
      </w:r>
    </w:p>
    <w:p w14:paraId="56108C51">
      <w:pPr>
        <w:pStyle w:val="30"/>
        <w:keepNext w:val="0"/>
        <w:keepLines w:val="0"/>
        <w:widowControl/>
        <w:suppressLineNumbers w:val="0"/>
        <w:rPr>
          <w:rFonts w:hint="eastAsia"/>
          <w:lang w:val="en-US" w:eastAsia="zh-CN"/>
        </w:rPr>
      </w:pPr>
      <w:r>
        <w:rPr>
          <w:rFonts w:hint="eastAsia"/>
          <w:lang w:val="en-US" w:eastAsia="zh-CN"/>
        </w:rPr>
        <w:t>（2）个体化营养支持与治疗</w:t>
      </w:r>
    </w:p>
    <w:p w14:paraId="5D91F20B">
      <w:pPr>
        <w:pStyle w:val="30"/>
        <w:keepNext w:val="0"/>
        <w:keepLines w:val="0"/>
        <w:widowControl/>
        <w:suppressLineNumbers w:val="0"/>
        <w:rPr>
          <w:rFonts w:hint="eastAsia"/>
          <w:lang w:val="en-US" w:eastAsia="zh-CN"/>
        </w:rPr>
      </w:pPr>
      <w:r>
        <w:rPr>
          <w:rFonts w:hint="eastAsia"/>
          <w:lang w:val="en-US" w:eastAsia="zh-CN"/>
        </w:rPr>
        <w:t>（3）尽量杜绝白蛋白的使用</w:t>
      </w:r>
    </w:p>
    <w:p w14:paraId="44B2B8DC">
      <w:pPr>
        <w:pStyle w:val="30"/>
        <w:keepNext w:val="0"/>
        <w:keepLines w:val="0"/>
        <w:widowControl/>
        <w:suppressLineNumbers w:val="0"/>
        <w:rPr>
          <w:rFonts w:hint="eastAsia"/>
          <w:lang w:val="en-US" w:eastAsia="zh-CN"/>
        </w:rPr>
      </w:pPr>
      <w:r>
        <w:rPr>
          <w:rFonts w:hint="eastAsia"/>
          <w:lang w:val="en-US" w:eastAsia="zh-CN"/>
        </w:rPr>
        <w:t>10.感染的防治：</w:t>
      </w:r>
    </w:p>
    <w:p w14:paraId="28C75CB0">
      <w:pPr>
        <w:pStyle w:val="30"/>
        <w:keepNext w:val="0"/>
        <w:keepLines w:val="0"/>
        <w:widowControl/>
        <w:suppressLineNumbers w:val="0"/>
        <w:rPr>
          <w:rFonts w:hint="eastAsia"/>
          <w:lang w:val="en-US" w:eastAsia="zh-CN"/>
        </w:rPr>
      </w:pPr>
      <w:r>
        <w:rPr>
          <w:rFonts w:hint="eastAsia"/>
          <w:lang w:val="en-US" w:eastAsia="zh-CN"/>
        </w:rPr>
        <w:t>（1）围术期抗菌素的使用</w:t>
      </w:r>
    </w:p>
    <w:p w14:paraId="25E77ACD">
      <w:pPr>
        <w:pStyle w:val="30"/>
        <w:keepNext w:val="0"/>
        <w:keepLines w:val="0"/>
        <w:widowControl/>
        <w:suppressLineNumbers w:val="0"/>
        <w:rPr>
          <w:rFonts w:hint="eastAsia"/>
          <w:lang w:val="en-US" w:eastAsia="zh-CN"/>
        </w:rPr>
      </w:pPr>
      <w:r>
        <w:rPr>
          <w:rFonts w:hint="eastAsia"/>
          <w:lang w:val="en-US" w:eastAsia="zh-CN"/>
        </w:rPr>
        <w:t>（2）肺感染的治疗</w:t>
      </w:r>
    </w:p>
    <w:p w14:paraId="4466D86B">
      <w:pPr>
        <w:pStyle w:val="30"/>
        <w:keepNext w:val="0"/>
        <w:keepLines w:val="0"/>
        <w:widowControl/>
        <w:suppressLineNumbers w:val="0"/>
        <w:rPr>
          <w:rFonts w:hint="eastAsia"/>
          <w:lang w:val="en-US" w:eastAsia="zh-CN"/>
        </w:rPr>
      </w:pPr>
      <w:r>
        <w:rPr>
          <w:rFonts w:hint="eastAsia"/>
          <w:lang w:val="en-US" w:eastAsia="zh-CN"/>
        </w:rPr>
        <w:t>（3）用药</w:t>
      </w:r>
    </w:p>
    <w:p w14:paraId="71BB01E5">
      <w:pPr>
        <w:pStyle w:val="30"/>
        <w:keepNext w:val="0"/>
        <w:keepLines w:val="0"/>
        <w:widowControl/>
        <w:suppressLineNumbers w:val="0"/>
        <w:rPr>
          <w:rFonts w:hint="eastAsia"/>
          <w:lang w:val="en-US" w:eastAsia="zh-CN"/>
        </w:rPr>
      </w:pPr>
      <w:r>
        <w:rPr>
          <w:rFonts w:hint="eastAsia"/>
          <w:lang w:val="en-US" w:eastAsia="zh-CN"/>
        </w:rPr>
        <w:t>（4）体位引流</w:t>
      </w:r>
    </w:p>
    <w:p w14:paraId="17210BA4">
      <w:pPr>
        <w:pStyle w:val="30"/>
        <w:keepNext w:val="0"/>
        <w:keepLines w:val="0"/>
        <w:widowControl/>
        <w:suppressLineNumbers w:val="0"/>
        <w:rPr>
          <w:rFonts w:hint="eastAsia"/>
          <w:lang w:val="en-US" w:eastAsia="zh-CN"/>
        </w:rPr>
      </w:pPr>
      <w:r>
        <w:rPr>
          <w:rFonts w:hint="eastAsia"/>
          <w:lang w:val="en-US" w:eastAsia="zh-CN"/>
        </w:rPr>
        <w:t>（5）腹腔感染的治疗</w:t>
      </w:r>
    </w:p>
    <w:p w14:paraId="557A24AE">
      <w:pPr>
        <w:pStyle w:val="30"/>
        <w:keepNext w:val="0"/>
        <w:keepLines w:val="0"/>
        <w:widowControl/>
        <w:suppressLineNumbers w:val="0"/>
        <w:rPr>
          <w:rFonts w:hint="eastAsia"/>
          <w:lang w:val="en-US" w:eastAsia="zh-CN"/>
        </w:rPr>
      </w:pPr>
      <w:r>
        <w:rPr>
          <w:rFonts w:hint="eastAsia"/>
          <w:lang w:val="en-US" w:eastAsia="zh-CN"/>
        </w:rPr>
        <w:t>（6）泌尿系感染的治疗</w:t>
      </w:r>
    </w:p>
    <w:p w14:paraId="27BB08E1">
      <w:pPr>
        <w:pStyle w:val="30"/>
        <w:keepNext w:val="0"/>
        <w:keepLines w:val="0"/>
        <w:widowControl/>
        <w:suppressLineNumbers w:val="0"/>
        <w:rPr>
          <w:rFonts w:hint="eastAsia"/>
          <w:lang w:val="en-US" w:eastAsia="zh-CN"/>
        </w:rPr>
      </w:pPr>
      <w:r>
        <w:rPr>
          <w:rFonts w:hint="eastAsia"/>
          <w:lang w:val="en-US" w:eastAsia="zh-CN"/>
        </w:rPr>
        <w:t>11.胃肠道准备：不常规进行机械性、泻药肠道准备；不常规使用抗菌素进行肠道准备。</w:t>
      </w:r>
    </w:p>
    <w:p w14:paraId="276971FE">
      <w:pPr>
        <w:pStyle w:val="30"/>
        <w:keepNext w:val="0"/>
        <w:keepLines w:val="0"/>
        <w:widowControl/>
        <w:suppressLineNumbers w:val="0"/>
        <w:rPr>
          <w:rFonts w:hint="default"/>
          <w:lang w:val="en-US" w:eastAsia="zh-CN"/>
        </w:rPr>
      </w:pPr>
      <w:r>
        <w:rPr>
          <w:rFonts w:hint="eastAsia"/>
          <w:lang w:val="en-US" w:eastAsia="zh-CN"/>
        </w:rPr>
        <w:t>12.应急预案：完整的应急预案=应对风险的诊疗原则+落实到“人财物环境”的具体细节。</w:t>
      </w:r>
    </w:p>
    <w:p w14:paraId="412E0BC6">
      <w:pPr>
        <w:pStyle w:val="30"/>
        <w:keepNext w:val="0"/>
        <w:keepLines w:val="0"/>
        <w:widowControl/>
        <w:suppressLineNumbers w:val="0"/>
        <w:rPr>
          <w:rFonts w:hint="default"/>
          <w:lang w:val="en-US" w:eastAsia="zh-CN"/>
        </w:rPr>
      </w:pPr>
    </w:p>
    <w:sectPr>
      <w:headerReference r:id="rId7" w:type="default"/>
      <w:footerReference r:id="rId8" w:type="default"/>
      <w:pgSz w:w="12240" w:h="15840"/>
      <w:pgMar w:top="1440" w:right="1800" w:bottom="1440" w:left="1800" w:header="720" w:footer="720" w:gutter="0"/>
      <w:pgNumType w:fmt="decimal"/>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4BF3D96-A61B-4F52-AD1C-81C0D82CBD3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61073501-3F46-4F72-A4A3-F8E065CAA720}"/>
  </w:font>
  <w:font w:name="仿宋">
    <w:panose1 w:val="02010609060101010101"/>
    <w:charset w:val="86"/>
    <w:family w:val="auto"/>
    <w:pitch w:val="default"/>
    <w:sig w:usb0="800002BF" w:usb1="38CF7CFA" w:usb2="00000016" w:usb3="00000000" w:csb0="00040001" w:csb1="00000000"/>
    <w:embedRegular r:id="rId3" w:fontKey="{D6FE641E-6849-4296-A112-9237A8200B5C}"/>
  </w:font>
  <w:font w:name="MS Gothic">
    <w:panose1 w:val="020B0609070205080204"/>
    <w:charset w:val="80"/>
    <w:family w:val="auto"/>
    <w:pitch w:val="default"/>
    <w:sig w:usb0="E00002FF" w:usb1="6AC7FDFB" w:usb2="08000012" w:usb3="00000000" w:csb0="4002009F" w:csb1="DFD70000"/>
    <w:embedRegular r:id="rId4" w:fontKey="{8AE0BF63-B58A-44FC-86EA-DE5C06AB012F}"/>
  </w:font>
  <w:font w:name="Courier">
    <w:altName w:val="Courier New"/>
    <w:panose1 w:val="02000500000000000000"/>
    <w:charset w:val="00"/>
    <w:family w:val="auto"/>
    <w:pitch w:val="default"/>
    <w:sig w:usb0="00000000" w:usb1="00000000" w:usb2="00000000" w:usb3="00000000" w:csb0="00000001" w:csb1="00000000"/>
  </w:font>
  <w:font w:name="ＭＳ 明朝">
    <w:altName w:val="Yu Gothic"/>
    <w:panose1 w:val="00000000000000000000"/>
    <w:charset w:val="80"/>
    <w:family w:val="roman"/>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Cambria">
    <w:panose1 w:val="02040503050406030204"/>
    <w:charset w:val="00"/>
    <w:family w:val="auto"/>
    <w:pitch w:val="default"/>
    <w:sig w:usb0="E00006FF" w:usb1="420024FF" w:usb2="02000000" w:usb3="00000000" w:csb0="2000019F" w:csb1="00000000"/>
  </w:font>
  <w:font w:name="方正小标宋简体">
    <w:panose1 w:val="02000000000000000000"/>
    <w:charset w:val="86"/>
    <w:family w:val="auto"/>
    <w:pitch w:val="default"/>
    <w:sig w:usb0="00000001" w:usb1="08000000" w:usb2="00000000" w:usb3="00000000" w:csb0="00040000" w:csb1="00000000"/>
    <w:embedRegular r:id="rId5" w:fontKey="{B83EC544-DCF9-40B3-AFB1-93CDD283F6AC}"/>
  </w:font>
  <w:font w:name="华文楷体">
    <w:panose1 w:val="02010600040101010101"/>
    <w:charset w:val="86"/>
    <w:family w:val="auto"/>
    <w:pitch w:val="default"/>
    <w:sig w:usb0="00000287" w:usb1="080F0000" w:usb2="00000000" w:usb3="00000000" w:csb0="0004009F" w:csb1="DFD70000"/>
    <w:embedRegular r:id="rId6" w:fontKey="{6FA7B81B-FDC7-4D51-A9DD-E13DE6FBCCD0}"/>
  </w:font>
  <w:font w:name="WPSEMBED1">
    <w:panose1 w:val="02000000000000000000"/>
    <w:charset w:val="86"/>
    <w:family w:val="auto"/>
    <w:pitch w:val="default"/>
    <w:sig w:usb0="00000001" w:usb1="08000000" w:usb2="00000000" w:usb3="00000000" w:csb0="00040000" w:csb1="00000000"/>
  </w:font>
  <w:font w:name="ＭＳ 明朝">
    <w:altName w:val="SWAstro"/>
    <w:panose1 w:val="00000000000000000000"/>
    <w:charset w:val="00"/>
    <w:family w:val="auto"/>
    <w:pitch w:val="default"/>
    <w:sig w:usb0="00000000" w:usb1="00000000" w:usb2="00000000" w:usb3="00000000" w:csb0="00000000" w:csb1="00000000"/>
  </w:font>
  <w:font w:name="SWAstro">
    <w:panose1 w:val="02000400000000000000"/>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125577">
    <w:pPr>
      <w:pStyle w:val="24"/>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8E478B">
    <w:pPr>
      <w:pStyle w:val="24"/>
      <w:jc w:val="cente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429B06">
                          <w:pPr>
                            <w:pStyle w:val="2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7A429B06">
                    <w:pPr>
                      <w:pStyle w:val="24"/>
                    </w:pPr>
                    <w:r>
                      <w:fldChar w:fldCharType="begin"/>
                    </w:r>
                    <w:r>
                      <w:instrText xml:space="preserve"> PAGE  \* MERGEFORMAT </w:instrText>
                    </w:r>
                    <w:r>
                      <w:fldChar w:fldCharType="separate"/>
                    </w:r>
                    <w:r>
                      <w:t>1</w:t>
                    </w:r>
                    <w:r>
                      <w:fldChar w:fldCharType="end"/>
                    </w:r>
                  </w:p>
                </w:txbxContent>
              </v:textbox>
            </v:shape>
          </w:pict>
        </mc:Fallback>
      </mc:AlternateContent>
    </w:r>
    <w:r>
      <w:t>第  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4A5F3E">
    <w:pPr>
      <w:pStyle w:val="25"/>
      <w:jc w:val="center"/>
      <w:rPr>
        <w:sz w:val="21"/>
        <w:szCs w:val="21"/>
      </w:rPr>
    </w:pPr>
    <w:r>
      <w:rPr>
        <w:sz w:val="21"/>
        <w:szCs w:val="21"/>
      </w:rPr>
      <w:t>巴彦淖尔市医院胃肠外科科研与学科建设十年规划纲要（2008–2035）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334B1C">
    <w:pPr>
      <w:pStyle w:val="25"/>
      <w:jc w:val="center"/>
      <w:rPr>
        <w:sz w:val="21"/>
        <w:szCs w:val="21"/>
      </w:rPr>
    </w:pPr>
    <w:r>
      <w:rPr>
        <w:sz w:val="21"/>
        <w:szCs w:val="21"/>
      </w:rPr>
      <w:t>巴彦淖尔市医院胃肠外科科研与学科建设十年规划纲要（2008–2035）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16160C"/>
    <w:multiLevelType w:val="singleLevel"/>
    <w:tmpl w:val="9616160C"/>
    <w:lvl w:ilvl="0" w:tentative="0">
      <w:start w:val="1"/>
      <w:numFmt w:val="bullet"/>
      <w:lvlText w:val=""/>
      <w:lvlJc w:val="left"/>
      <w:pPr>
        <w:ind w:left="420" w:hanging="420"/>
      </w:pPr>
      <w:rPr>
        <w:rFonts w:hint="default" w:ascii="Wingdings" w:hAnsi="Wingdings"/>
      </w:rPr>
    </w:lvl>
  </w:abstractNum>
  <w:abstractNum w:abstractNumId="1">
    <w:nsid w:val="9A7A4854"/>
    <w:multiLevelType w:val="singleLevel"/>
    <w:tmpl w:val="9A7A4854"/>
    <w:lvl w:ilvl="0" w:tentative="0">
      <w:start w:val="1"/>
      <w:numFmt w:val="decimal"/>
      <w:lvlText w:val="%1."/>
      <w:lvlJc w:val="left"/>
      <w:pPr>
        <w:ind w:left="425" w:hanging="425"/>
      </w:pPr>
      <w:rPr>
        <w:rFonts w:hint="default"/>
      </w:rPr>
    </w:lvl>
  </w:abstractNum>
  <w:abstractNum w:abstractNumId="2">
    <w:nsid w:val="ABD9C853"/>
    <w:multiLevelType w:val="singleLevel"/>
    <w:tmpl w:val="ABD9C853"/>
    <w:lvl w:ilvl="0" w:tentative="0">
      <w:start w:val="1"/>
      <w:numFmt w:val="bullet"/>
      <w:lvlText w:val=""/>
      <w:lvlJc w:val="left"/>
      <w:pPr>
        <w:ind w:left="420" w:hanging="420"/>
      </w:pPr>
      <w:rPr>
        <w:rFonts w:hint="default" w:ascii="Wingdings" w:hAnsi="Wingdings"/>
      </w:rPr>
    </w:lvl>
  </w:abstractNum>
  <w:abstractNum w:abstractNumId="3">
    <w:nsid w:val="ACFD9A8C"/>
    <w:multiLevelType w:val="singleLevel"/>
    <w:tmpl w:val="ACFD9A8C"/>
    <w:lvl w:ilvl="0" w:tentative="0">
      <w:start w:val="1"/>
      <w:numFmt w:val="decimal"/>
      <w:lvlText w:val="%1."/>
      <w:lvlJc w:val="left"/>
      <w:pPr>
        <w:ind w:left="425" w:hanging="425"/>
      </w:pPr>
      <w:rPr>
        <w:rFonts w:hint="default"/>
      </w:rPr>
    </w:lvl>
  </w:abstractNum>
  <w:abstractNum w:abstractNumId="4">
    <w:nsid w:val="AF23DFB7"/>
    <w:multiLevelType w:val="singleLevel"/>
    <w:tmpl w:val="AF23DFB7"/>
    <w:lvl w:ilvl="0" w:tentative="0">
      <w:start w:val="1"/>
      <w:numFmt w:val="bullet"/>
      <w:lvlText w:val=""/>
      <w:lvlJc w:val="left"/>
      <w:pPr>
        <w:ind w:left="420" w:hanging="420"/>
      </w:pPr>
      <w:rPr>
        <w:rFonts w:hint="default" w:ascii="Wingdings" w:hAnsi="Wingdings"/>
      </w:rPr>
    </w:lvl>
  </w:abstractNum>
  <w:abstractNum w:abstractNumId="5">
    <w:nsid w:val="AF4B2263"/>
    <w:multiLevelType w:val="singleLevel"/>
    <w:tmpl w:val="AF4B2263"/>
    <w:lvl w:ilvl="0" w:tentative="0">
      <w:start w:val="1"/>
      <w:numFmt w:val="bullet"/>
      <w:lvlText w:val=""/>
      <w:lvlJc w:val="left"/>
      <w:pPr>
        <w:ind w:left="420" w:hanging="420"/>
      </w:pPr>
      <w:rPr>
        <w:rFonts w:hint="default" w:ascii="Wingdings" w:hAnsi="Wingdings"/>
      </w:rPr>
    </w:lvl>
  </w:abstractNum>
  <w:abstractNum w:abstractNumId="6">
    <w:nsid w:val="C11EE450"/>
    <w:multiLevelType w:val="singleLevel"/>
    <w:tmpl w:val="C11EE450"/>
    <w:lvl w:ilvl="0" w:tentative="0">
      <w:start w:val="1"/>
      <w:numFmt w:val="decimal"/>
      <w:lvlText w:val="%1."/>
      <w:lvlJc w:val="left"/>
      <w:pPr>
        <w:ind w:left="425" w:hanging="425"/>
      </w:pPr>
      <w:rPr>
        <w:rFonts w:hint="default"/>
      </w:rPr>
    </w:lvl>
  </w:abstractNum>
  <w:abstractNum w:abstractNumId="7">
    <w:nsid w:val="C9B434F6"/>
    <w:multiLevelType w:val="singleLevel"/>
    <w:tmpl w:val="C9B434F6"/>
    <w:lvl w:ilvl="0" w:tentative="0">
      <w:start w:val="1"/>
      <w:numFmt w:val="bullet"/>
      <w:lvlText w:val=""/>
      <w:lvlJc w:val="left"/>
      <w:pPr>
        <w:ind w:left="420" w:hanging="420"/>
      </w:pPr>
      <w:rPr>
        <w:rFonts w:hint="default" w:ascii="Wingdings" w:hAnsi="Wingdings"/>
      </w:rPr>
    </w:lvl>
  </w:abstractNum>
  <w:abstractNum w:abstractNumId="8">
    <w:nsid w:val="D84A5CF9"/>
    <w:multiLevelType w:val="singleLevel"/>
    <w:tmpl w:val="D84A5CF9"/>
    <w:lvl w:ilvl="0" w:tentative="0">
      <w:start w:val="1"/>
      <w:numFmt w:val="decimal"/>
      <w:lvlText w:val="%1."/>
      <w:lvlJc w:val="left"/>
      <w:pPr>
        <w:ind w:left="425" w:hanging="425"/>
      </w:pPr>
      <w:rPr>
        <w:rFonts w:hint="default"/>
      </w:rPr>
    </w:lvl>
  </w:abstractNum>
  <w:abstractNum w:abstractNumId="9">
    <w:nsid w:val="E9996633"/>
    <w:multiLevelType w:val="singleLevel"/>
    <w:tmpl w:val="E9996633"/>
    <w:lvl w:ilvl="0" w:tentative="0">
      <w:start w:val="1"/>
      <w:numFmt w:val="decimal"/>
      <w:lvlText w:val="%1."/>
      <w:lvlJc w:val="left"/>
      <w:pPr>
        <w:ind w:left="425" w:hanging="425"/>
      </w:pPr>
      <w:rPr>
        <w:rFonts w:hint="default"/>
      </w:rPr>
    </w:lvl>
  </w:abstractNum>
  <w:abstractNum w:abstractNumId="10">
    <w:nsid w:val="F863A407"/>
    <w:multiLevelType w:val="singleLevel"/>
    <w:tmpl w:val="F863A407"/>
    <w:lvl w:ilvl="0" w:tentative="0">
      <w:start w:val="1"/>
      <w:numFmt w:val="bullet"/>
      <w:lvlText w:val=""/>
      <w:lvlJc w:val="left"/>
      <w:pPr>
        <w:ind w:left="420" w:hanging="420"/>
      </w:pPr>
      <w:rPr>
        <w:rFonts w:hint="default" w:ascii="Wingdings" w:hAnsi="Wingdings"/>
      </w:rPr>
    </w:lvl>
  </w:abstractNum>
  <w:abstractNum w:abstractNumId="11">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2">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13">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14">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15">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16">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abstractNum w:abstractNumId="17">
    <w:nsid w:val="02C92ADB"/>
    <w:multiLevelType w:val="singleLevel"/>
    <w:tmpl w:val="02C92ADB"/>
    <w:lvl w:ilvl="0" w:tentative="0">
      <w:start w:val="1"/>
      <w:numFmt w:val="decimal"/>
      <w:lvlText w:val="%1."/>
      <w:lvlJc w:val="left"/>
      <w:pPr>
        <w:ind w:left="425" w:hanging="425"/>
      </w:pPr>
      <w:rPr>
        <w:rFonts w:hint="default"/>
      </w:rPr>
    </w:lvl>
  </w:abstractNum>
  <w:abstractNum w:abstractNumId="18">
    <w:nsid w:val="10BA607A"/>
    <w:multiLevelType w:val="singleLevel"/>
    <w:tmpl w:val="10BA607A"/>
    <w:lvl w:ilvl="0" w:tentative="0">
      <w:start w:val="1"/>
      <w:numFmt w:val="decimal"/>
      <w:lvlText w:val="(%1)"/>
      <w:lvlJc w:val="left"/>
      <w:pPr>
        <w:ind w:left="425" w:hanging="425"/>
      </w:pPr>
      <w:rPr>
        <w:rFonts w:hint="default"/>
      </w:rPr>
    </w:lvl>
  </w:abstractNum>
  <w:abstractNum w:abstractNumId="19">
    <w:nsid w:val="157D8BBC"/>
    <w:multiLevelType w:val="singleLevel"/>
    <w:tmpl w:val="157D8BBC"/>
    <w:lvl w:ilvl="0" w:tentative="0">
      <w:start w:val="4"/>
      <w:numFmt w:val="decimal"/>
      <w:suff w:val="space"/>
      <w:lvlText w:val="%1."/>
      <w:lvlJc w:val="left"/>
    </w:lvl>
  </w:abstractNum>
  <w:abstractNum w:abstractNumId="20">
    <w:nsid w:val="2F16AEC0"/>
    <w:multiLevelType w:val="singleLevel"/>
    <w:tmpl w:val="2F16AEC0"/>
    <w:lvl w:ilvl="0" w:tentative="0">
      <w:start w:val="1"/>
      <w:numFmt w:val="bullet"/>
      <w:lvlText w:val=""/>
      <w:lvlJc w:val="left"/>
      <w:pPr>
        <w:ind w:left="420" w:hanging="420"/>
      </w:pPr>
      <w:rPr>
        <w:rFonts w:hint="default" w:ascii="Wingdings" w:hAnsi="Wingdings"/>
      </w:rPr>
    </w:lvl>
  </w:abstractNum>
  <w:abstractNum w:abstractNumId="21">
    <w:nsid w:val="351A7C47"/>
    <w:multiLevelType w:val="singleLevel"/>
    <w:tmpl w:val="351A7C47"/>
    <w:lvl w:ilvl="0" w:tentative="0">
      <w:start w:val="1"/>
      <w:numFmt w:val="bullet"/>
      <w:lvlText w:val=""/>
      <w:lvlJc w:val="left"/>
      <w:pPr>
        <w:ind w:left="420" w:hanging="420"/>
      </w:pPr>
      <w:rPr>
        <w:rFonts w:hint="default" w:ascii="Wingdings" w:hAnsi="Wingdings"/>
      </w:rPr>
    </w:lvl>
  </w:abstractNum>
  <w:abstractNum w:abstractNumId="22">
    <w:nsid w:val="3FA68B39"/>
    <w:multiLevelType w:val="singleLevel"/>
    <w:tmpl w:val="3FA68B39"/>
    <w:lvl w:ilvl="0" w:tentative="0">
      <w:start w:val="2"/>
      <w:numFmt w:val="chineseCounting"/>
      <w:suff w:val="space"/>
      <w:lvlText w:val="%1、"/>
      <w:lvlJc w:val="left"/>
      <w:rPr>
        <w:rFonts w:hint="eastAsia"/>
      </w:rPr>
    </w:lvl>
  </w:abstractNum>
  <w:abstractNum w:abstractNumId="23">
    <w:nsid w:val="6C145A5E"/>
    <w:multiLevelType w:val="singleLevel"/>
    <w:tmpl w:val="6C145A5E"/>
    <w:lvl w:ilvl="0" w:tentative="0">
      <w:start w:val="1"/>
      <w:numFmt w:val="decimal"/>
      <w:lvlText w:val="%1."/>
      <w:lvlJc w:val="left"/>
      <w:pPr>
        <w:ind w:left="425" w:hanging="425"/>
      </w:pPr>
      <w:rPr>
        <w:rFonts w:hint="default"/>
      </w:rPr>
    </w:lvl>
  </w:abstractNum>
  <w:num w:numId="1">
    <w:abstractNumId w:val="12"/>
  </w:num>
  <w:num w:numId="2">
    <w:abstractNumId w:val="15"/>
  </w:num>
  <w:num w:numId="3">
    <w:abstractNumId w:val="16"/>
  </w:num>
  <w:num w:numId="4">
    <w:abstractNumId w:val="13"/>
  </w:num>
  <w:num w:numId="5">
    <w:abstractNumId w:val="11"/>
  </w:num>
  <w:num w:numId="6">
    <w:abstractNumId w:val="14"/>
  </w:num>
  <w:num w:numId="7">
    <w:abstractNumId w:val="9"/>
  </w:num>
  <w:num w:numId="8">
    <w:abstractNumId w:val="23"/>
  </w:num>
  <w:num w:numId="9">
    <w:abstractNumId w:val="10"/>
  </w:num>
  <w:num w:numId="10">
    <w:abstractNumId w:val="6"/>
  </w:num>
  <w:num w:numId="11">
    <w:abstractNumId w:val="4"/>
  </w:num>
  <w:num w:numId="12">
    <w:abstractNumId w:val="2"/>
  </w:num>
  <w:num w:numId="13">
    <w:abstractNumId w:val="0"/>
  </w:num>
  <w:num w:numId="14">
    <w:abstractNumId w:val="17"/>
  </w:num>
  <w:num w:numId="15">
    <w:abstractNumId w:val="7"/>
  </w:num>
  <w:num w:numId="16">
    <w:abstractNumId w:val="19"/>
  </w:num>
  <w:num w:numId="17">
    <w:abstractNumId w:val="18"/>
  </w:num>
  <w:num w:numId="18">
    <w:abstractNumId w:val="1"/>
  </w:num>
  <w:num w:numId="19">
    <w:abstractNumId w:val="8"/>
  </w:num>
  <w:num w:numId="20">
    <w:abstractNumId w:val="21"/>
  </w:num>
  <w:num w:numId="21">
    <w:abstractNumId w:val="22"/>
  </w:num>
  <w:num w:numId="22">
    <w:abstractNumId w:val="5"/>
  </w:num>
  <w:num w:numId="23">
    <w:abstractNumId w:val="3"/>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TrueTypeFonts/>
  <w:saveSubsetFonts/>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Y_MEDREF_DOCUID" w:val="{2AF39EFC-369C-461F-BE52-561A16D3E097}"/>
    <w:docVar w:name="KY_MEDREF_VERSION" w:val="3"/>
  </w:docVars>
  <w:rsids>
    <w:rsidRoot w:val="00B47730"/>
    <w:rsid w:val="00034616"/>
    <w:rsid w:val="0006063C"/>
    <w:rsid w:val="0015074B"/>
    <w:rsid w:val="0029639D"/>
    <w:rsid w:val="00326F90"/>
    <w:rsid w:val="009444C8"/>
    <w:rsid w:val="00AA1D8D"/>
    <w:rsid w:val="00B47730"/>
    <w:rsid w:val="00CB0664"/>
    <w:rsid w:val="00FC693F"/>
    <w:rsid w:val="07A33454"/>
    <w:rsid w:val="08D31B19"/>
    <w:rsid w:val="0B7430AD"/>
    <w:rsid w:val="0CB63B54"/>
    <w:rsid w:val="103F5AD3"/>
    <w:rsid w:val="13E0771A"/>
    <w:rsid w:val="190A1374"/>
    <w:rsid w:val="1E5A20AE"/>
    <w:rsid w:val="1EF55D2C"/>
    <w:rsid w:val="2119509B"/>
    <w:rsid w:val="22007B9F"/>
    <w:rsid w:val="28D64960"/>
    <w:rsid w:val="29BD58FE"/>
    <w:rsid w:val="2AA4181A"/>
    <w:rsid w:val="2EFC6A22"/>
    <w:rsid w:val="2F93220A"/>
    <w:rsid w:val="31321F29"/>
    <w:rsid w:val="31990970"/>
    <w:rsid w:val="32300AE3"/>
    <w:rsid w:val="345A4DA0"/>
    <w:rsid w:val="35843E04"/>
    <w:rsid w:val="373E2039"/>
    <w:rsid w:val="37FF7772"/>
    <w:rsid w:val="39AD59A0"/>
    <w:rsid w:val="3FB86B84"/>
    <w:rsid w:val="3FF20363"/>
    <w:rsid w:val="40C160DA"/>
    <w:rsid w:val="413F54E2"/>
    <w:rsid w:val="432B2DF5"/>
    <w:rsid w:val="447E3691"/>
    <w:rsid w:val="46D0619D"/>
    <w:rsid w:val="4CC36B68"/>
    <w:rsid w:val="4DCB1DBB"/>
    <w:rsid w:val="4EF13E61"/>
    <w:rsid w:val="51971C7D"/>
    <w:rsid w:val="52F5095B"/>
    <w:rsid w:val="53937294"/>
    <w:rsid w:val="570219CD"/>
    <w:rsid w:val="580B63A1"/>
    <w:rsid w:val="5A6B2D19"/>
    <w:rsid w:val="5D4C593F"/>
    <w:rsid w:val="5DD52C7F"/>
    <w:rsid w:val="5E747351"/>
    <w:rsid w:val="610417D1"/>
    <w:rsid w:val="64856DBA"/>
    <w:rsid w:val="69580D63"/>
    <w:rsid w:val="6A4B0471"/>
    <w:rsid w:val="6C4A147E"/>
    <w:rsid w:val="6DF130DE"/>
    <w:rsid w:val="6E0C64A0"/>
    <w:rsid w:val="6EFC5E00"/>
    <w:rsid w:val="6FA12279"/>
    <w:rsid w:val="7038712D"/>
    <w:rsid w:val="72930C07"/>
    <w:rsid w:val="78C31F2E"/>
    <w:rsid w:val="7AA11240"/>
    <w:rsid w:val="7C441B50"/>
    <w:rsid w:val="7C9D216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仿宋" w:hAnsi="仿宋" w:eastAsia="仿宋" w:cstheme="minorBidi"/>
      <w:sz w:val="28"/>
      <w:szCs w:val="22"/>
      <w:lang w:val="en-US" w:eastAsia="en-US" w:bidi="ar-SA"/>
    </w:rPr>
  </w:style>
  <w:style w:type="paragraph" w:styleId="3">
    <w:name w:val="heading 1"/>
    <w:basedOn w:val="1"/>
    <w:next w:val="1"/>
    <w:link w:val="139"/>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40"/>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1"/>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1"/>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2"/>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3"/>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4"/>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5"/>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6"/>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3">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2">
    <w:name w:val="macro"/>
    <w:link w:val="148"/>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7"/>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5"/>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7"/>
    <w:unhideWhenUsed/>
    <w:qFormat/>
    <w:uiPriority w:val="99"/>
    <w:pPr>
      <w:tabs>
        <w:tab w:val="center" w:pos="4680"/>
        <w:tab w:val="right" w:pos="9360"/>
      </w:tabs>
      <w:spacing w:after="0" w:line="240" w:lineRule="auto"/>
    </w:pPr>
  </w:style>
  <w:style w:type="paragraph" w:styleId="25">
    <w:name w:val="header"/>
    <w:basedOn w:val="1"/>
    <w:link w:val="136"/>
    <w:unhideWhenUsed/>
    <w:qFormat/>
    <w:uiPriority w:val="99"/>
    <w:pPr>
      <w:tabs>
        <w:tab w:val="center" w:pos="4680"/>
        <w:tab w:val="right" w:pos="9360"/>
      </w:tabs>
      <w:spacing w:after="0" w:line="240" w:lineRule="auto"/>
    </w:pPr>
  </w:style>
  <w:style w:type="paragraph" w:styleId="26">
    <w:name w:val="Subtitle"/>
    <w:basedOn w:val="1"/>
    <w:next w:val="1"/>
    <w:link w:val="143"/>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6"/>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31">
    <w:name w:val="List Continue 3"/>
    <w:basedOn w:val="1"/>
    <w:unhideWhenUsed/>
    <w:qFormat/>
    <w:uiPriority w:val="99"/>
    <w:pPr>
      <w:spacing w:after="120"/>
      <w:ind w:left="1080"/>
      <w:contextualSpacing/>
    </w:pPr>
  </w:style>
  <w:style w:type="paragraph" w:styleId="32">
    <w:name w:val="Title"/>
    <w:basedOn w:val="1"/>
    <w:next w:val="1"/>
    <w:link w:val="142"/>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4">
    <w:name w:val="Table Grid"/>
    <w:basedOn w:val="33"/>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5">
    <w:name w:val="Light Shading"/>
    <w:basedOn w:val="33"/>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6">
    <w:name w:val="Light Shading Accent 1"/>
    <w:basedOn w:val="33"/>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7">
    <w:name w:val="Light Shading Accent 2"/>
    <w:basedOn w:val="33"/>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8">
    <w:name w:val="Light Shading Accent 3"/>
    <w:basedOn w:val="33"/>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9">
    <w:name w:val="Light Shading Accent 4"/>
    <w:basedOn w:val="33"/>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0">
    <w:name w:val="Light Shading Accent 5"/>
    <w:basedOn w:val="33"/>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1">
    <w:name w:val="Light Shading Accent 6"/>
    <w:basedOn w:val="33"/>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2">
    <w:name w:val="Light List"/>
    <w:basedOn w:val="33"/>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3">
    <w:name w:val="Light List Accent 1"/>
    <w:basedOn w:val="33"/>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4">
    <w:name w:val="Light List Accent 2"/>
    <w:basedOn w:val="33"/>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5">
    <w:name w:val="Light List Accent 3"/>
    <w:basedOn w:val="33"/>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6">
    <w:name w:val="Light List Accent 4"/>
    <w:basedOn w:val="33"/>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7">
    <w:name w:val="Light List Accent 5"/>
    <w:basedOn w:val="33"/>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8">
    <w:name w:val="Light List Accent 6"/>
    <w:basedOn w:val="33"/>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9">
    <w:name w:val="Light Grid"/>
    <w:basedOn w:val="33"/>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0">
    <w:name w:val="Light Grid Accent 1"/>
    <w:basedOn w:val="33"/>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1">
    <w:name w:val="Light Grid Accent 2"/>
    <w:basedOn w:val="33"/>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2">
    <w:name w:val="Light Grid Accent 3"/>
    <w:basedOn w:val="33"/>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3">
    <w:name w:val="Light Grid Accent 4"/>
    <w:basedOn w:val="33"/>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4">
    <w:name w:val="Light Grid Accent 5"/>
    <w:basedOn w:val="33"/>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5">
    <w:name w:val="Light Grid Accent 6"/>
    <w:basedOn w:val="33"/>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6">
    <w:name w:val="Medium Shading 1"/>
    <w:basedOn w:val="33"/>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7">
    <w:name w:val="Medium Shading 1 Accent 1"/>
    <w:basedOn w:val="33"/>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8">
    <w:name w:val="Medium Shading 1 Accent 2"/>
    <w:basedOn w:val="33"/>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9">
    <w:name w:val="Medium Shading 1 Accent 3"/>
    <w:basedOn w:val="33"/>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0">
    <w:name w:val="Medium Shading 1 Accent 4"/>
    <w:basedOn w:val="33"/>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1">
    <w:name w:val="Medium Shading 1 Accent 5"/>
    <w:basedOn w:val="33"/>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2">
    <w:name w:val="Medium Shading 1 Accent 6"/>
    <w:basedOn w:val="33"/>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3">
    <w:name w:val="Medium Shading 2"/>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1"/>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2"/>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3"/>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4"/>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5"/>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6"/>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List 1"/>
    <w:basedOn w:val="33"/>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1">
    <w:name w:val="Medium List 1 Accent 1"/>
    <w:basedOn w:val="33"/>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2">
    <w:name w:val="Medium List 1 Accent 2"/>
    <w:basedOn w:val="33"/>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3">
    <w:name w:val="Medium List 1 Accent 3"/>
    <w:basedOn w:val="33"/>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4">
    <w:name w:val="Medium List 1 Accent 4"/>
    <w:basedOn w:val="33"/>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5">
    <w:name w:val="Medium List 1 Accent 5"/>
    <w:basedOn w:val="33"/>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6">
    <w:name w:val="Medium List 1 Accent 6"/>
    <w:basedOn w:val="33"/>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7">
    <w:name w:val="Medium List 2"/>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1"/>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2"/>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3"/>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4"/>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5"/>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6"/>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Grid 1"/>
    <w:basedOn w:val="33"/>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5">
    <w:name w:val="Medium Grid 1 Accent 1"/>
    <w:basedOn w:val="33"/>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6">
    <w:name w:val="Medium Grid 1 Accent 2"/>
    <w:basedOn w:val="33"/>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7">
    <w:name w:val="Medium Grid 1 Accent 3"/>
    <w:basedOn w:val="33"/>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8">
    <w:name w:val="Medium Grid 1 Accent 4"/>
    <w:basedOn w:val="33"/>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9">
    <w:name w:val="Medium Grid 1 Accent 5"/>
    <w:basedOn w:val="33"/>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0">
    <w:name w:val="Medium Grid 1 Accent 6"/>
    <w:basedOn w:val="33"/>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2">
    <w:name w:val="Medium Grid 2 Accent 1"/>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3">
    <w:name w:val="Medium Grid 2 Accent 2"/>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8">
    <w:name w:val="Medium Grid 3"/>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9">
    <w:name w:val="Medium Grid 3 Accent 1"/>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0">
    <w:name w:val="Medium Grid 3 Accent 2"/>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1">
    <w:name w:val="Medium Grid 3 Accent 3"/>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2">
    <w:name w:val="Medium Grid 3 Accent 4"/>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3">
    <w:name w:val="Medium Grid 3 Accent 5"/>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4">
    <w:name w:val="Medium Grid 3 Accent 6"/>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5">
    <w:name w:val="Dark List"/>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6">
    <w:name w:val="Dark List Accent 1"/>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7">
    <w:name w:val="Dark List Accent 2"/>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8">
    <w:name w:val="Dark List Accent 3"/>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9">
    <w:name w:val="Dark List Accent 4"/>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0">
    <w:name w:val="Dark List Accent 5"/>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1">
    <w:name w:val="Dark List Accent 6"/>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2">
    <w:name w:val="Colorful Shading"/>
    <w:basedOn w:val="33"/>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1"/>
    <w:basedOn w:val="33"/>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2"/>
    <w:basedOn w:val="33"/>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3"/>
    <w:basedOn w:val="33"/>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6">
    <w:name w:val="Colorful Shading Accent 4"/>
    <w:basedOn w:val="33"/>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5"/>
    <w:basedOn w:val="33"/>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Shading Accent 6"/>
    <w:basedOn w:val="33"/>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List"/>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0">
    <w:name w:val="Colorful List Accent 1"/>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1">
    <w:name w:val="Colorful List Accent 2"/>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2">
    <w:name w:val="Colorful List Accent 3"/>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3">
    <w:name w:val="Colorful List Accent 4"/>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4">
    <w:name w:val="Colorful List Accent 5"/>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5">
    <w:name w:val="Colorful List Accent 6"/>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6">
    <w:name w:val="Colorful Grid"/>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7">
    <w:name w:val="Colorful Grid Accent 1"/>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8">
    <w:name w:val="Colorful Grid Accent 2"/>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9">
    <w:name w:val="Colorful Grid Accent 3"/>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0">
    <w:name w:val="Colorful Grid Accent 4"/>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1">
    <w:name w:val="Colorful Grid Accent 5"/>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2">
    <w:name w:val="Colorful Grid Accent 6"/>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4">
    <w:name w:val="Strong"/>
    <w:basedOn w:val="133"/>
    <w:qFormat/>
    <w:uiPriority w:val="22"/>
    <w:rPr>
      <w:b/>
      <w:bCs/>
    </w:rPr>
  </w:style>
  <w:style w:type="character" w:styleId="135">
    <w:name w:val="Emphasis"/>
    <w:basedOn w:val="133"/>
    <w:qFormat/>
    <w:uiPriority w:val="20"/>
    <w:rPr>
      <w:i/>
      <w:iCs/>
    </w:rPr>
  </w:style>
  <w:style w:type="character" w:customStyle="1" w:styleId="136">
    <w:name w:val="Header Char"/>
    <w:basedOn w:val="133"/>
    <w:link w:val="25"/>
    <w:qFormat/>
    <w:uiPriority w:val="99"/>
  </w:style>
  <w:style w:type="character" w:customStyle="1" w:styleId="137">
    <w:name w:val="Footer Char"/>
    <w:basedOn w:val="133"/>
    <w:link w:val="24"/>
    <w:qFormat/>
    <w:uiPriority w:val="99"/>
  </w:style>
  <w:style w:type="paragraph" w:styleId="138">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9">
    <w:name w:val="Heading 1 Char"/>
    <w:basedOn w:val="133"/>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40">
    <w:name w:val="Heading 2 Char"/>
    <w:basedOn w:val="133"/>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1">
    <w:name w:val="Heading 3 Char"/>
    <w:basedOn w:val="133"/>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2">
    <w:name w:val="Title Char"/>
    <w:basedOn w:val="133"/>
    <w:link w:val="32"/>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3">
    <w:name w:val="Subtitle Char"/>
    <w:basedOn w:val="133"/>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4">
    <w:name w:val="List Paragraph"/>
    <w:basedOn w:val="1"/>
    <w:qFormat/>
    <w:uiPriority w:val="34"/>
    <w:pPr>
      <w:ind w:left="720"/>
      <w:contextualSpacing/>
    </w:pPr>
  </w:style>
  <w:style w:type="character" w:customStyle="1" w:styleId="145">
    <w:name w:val="Body Text Char"/>
    <w:basedOn w:val="133"/>
    <w:link w:val="19"/>
    <w:qFormat/>
    <w:uiPriority w:val="99"/>
  </w:style>
  <w:style w:type="character" w:customStyle="1" w:styleId="146">
    <w:name w:val="Body Text 2 Char"/>
    <w:basedOn w:val="133"/>
    <w:link w:val="28"/>
    <w:qFormat/>
    <w:uiPriority w:val="99"/>
  </w:style>
  <w:style w:type="character" w:customStyle="1" w:styleId="147">
    <w:name w:val="Body Text 3 Char"/>
    <w:basedOn w:val="133"/>
    <w:link w:val="17"/>
    <w:qFormat/>
    <w:uiPriority w:val="99"/>
    <w:rPr>
      <w:sz w:val="16"/>
      <w:szCs w:val="16"/>
    </w:rPr>
  </w:style>
  <w:style w:type="character" w:customStyle="1" w:styleId="148">
    <w:name w:val="Macro Text Char"/>
    <w:basedOn w:val="133"/>
    <w:link w:val="2"/>
    <w:qFormat/>
    <w:uiPriority w:val="99"/>
    <w:rPr>
      <w:rFonts w:ascii="Courier" w:hAnsi="Courier"/>
      <w:sz w:val="20"/>
      <w:szCs w:val="20"/>
    </w:rPr>
  </w:style>
  <w:style w:type="paragraph" w:styleId="149">
    <w:name w:val="Quote"/>
    <w:basedOn w:val="1"/>
    <w:next w:val="1"/>
    <w:link w:val="150"/>
    <w:qFormat/>
    <w:uiPriority w:val="29"/>
    <w:rPr>
      <w:i/>
      <w:iCs/>
      <w:color w:val="000000" w:themeColor="text1"/>
      <w14:textFill>
        <w14:solidFill>
          <w14:schemeClr w14:val="tx1"/>
        </w14:solidFill>
      </w14:textFill>
    </w:rPr>
  </w:style>
  <w:style w:type="character" w:customStyle="1" w:styleId="150">
    <w:name w:val="Quote Char"/>
    <w:basedOn w:val="133"/>
    <w:link w:val="149"/>
    <w:qFormat/>
    <w:uiPriority w:val="29"/>
    <w:rPr>
      <w:i/>
      <w:iCs/>
      <w:color w:val="000000" w:themeColor="text1"/>
      <w14:textFill>
        <w14:solidFill>
          <w14:schemeClr w14:val="tx1"/>
        </w14:solidFill>
      </w14:textFill>
    </w:rPr>
  </w:style>
  <w:style w:type="character" w:customStyle="1" w:styleId="151">
    <w:name w:val="Heading 4 Char"/>
    <w:basedOn w:val="133"/>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2">
    <w:name w:val="Heading 5 Char"/>
    <w:basedOn w:val="133"/>
    <w:link w:val="7"/>
    <w:semiHidden/>
    <w:qFormat/>
    <w:uiPriority w:val="9"/>
    <w:rPr>
      <w:rFonts w:asciiTheme="majorHAnsi" w:hAnsiTheme="majorHAnsi" w:eastAsiaTheme="majorEastAsia" w:cstheme="majorBidi"/>
      <w:color w:val="254061" w:themeColor="accent1" w:themeShade="80"/>
    </w:rPr>
  </w:style>
  <w:style w:type="character" w:customStyle="1" w:styleId="153">
    <w:name w:val="Heading 6 Char"/>
    <w:basedOn w:val="133"/>
    <w:link w:val="8"/>
    <w:semiHidden/>
    <w:qFormat/>
    <w:uiPriority w:val="9"/>
    <w:rPr>
      <w:rFonts w:asciiTheme="majorHAnsi" w:hAnsiTheme="majorHAnsi" w:eastAsiaTheme="majorEastAsia" w:cstheme="majorBidi"/>
      <w:i/>
      <w:iCs/>
      <w:color w:val="254061" w:themeColor="accent1" w:themeShade="80"/>
    </w:rPr>
  </w:style>
  <w:style w:type="character" w:customStyle="1" w:styleId="154">
    <w:name w:val="Heading 7 Char"/>
    <w:basedOn w:val="133"/>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5">
    <w:name w:val="Heading 8 Char"/>
    <w:basedOn w:val="133"/>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6">
    <w:name w:val="Heading 9 Char"/>
    <w:basedOn w:val="133"/>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7">
    <w:name w:val="Intense Quote"/>
    <w:basedOn w:val="1"/>
    <w:next w:val="1"/>
    <w:link w:val="158"/>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8">
    <w:name w:val="Intense Quote Char"/>
    <w:basedOn w:val="133"/>
    <w:link w:val="157"/>
    <w:qFormat/>
    <w:uiPriority w:val="30"/>
    <w:rPr>
      <w:b/>
      <w:bCs/>
      <w:i/>
      <w:iCs/>
      <w:color w:val="4F81BD" w:themeColor="accent1"/>
      <w14:textFill>
        <w14:solidFill>
          <w14:schemeClr w14:val="accent1"/>
        </w14:solidFill>
      </w14:textFill>
    </w:rPr>
  </w:style>
  <w:style w:type="character" w:customStyle="1" w:styleId="159">
    <w:name w:val="Subtle Emphasis"/>
    <w:basedOn w:val="133"/>
    <w:qFormat/>
    <w:uiPriority w:val="19"/>
    <w:rPr>
      <w:i/>
      <w:iCs/>
      <w:color w:val="808080" w:themeColor="text1" w:themeTint="80"/>
      <w14:textFill>
        <w14:solidFill>
          <w14:schemeClr w14:val="tx1">
            <w14:lumMod w14:val="50000"/>
            <w14:lumOff w14:val="50000"/>
          </w14:schemeClr>
        </w14:solidFill>
      </w14:textFill>
    </w:rPr>
  </w:style>
  <w:style w:type="character" w:customStyle="1" w:styleId="160">
    <w:name w:val="Intense Emphasis"/>
    <w:basedOn w:val="133"/>
    <w:qFormat/>
    <w:uiPriority w:val="21"/>
    <w:rPr>
      <w:b/>
      <w:bCs/>
      <w:i/>
      <w:iCs/>
      <w:color w:val="4F81BD" w:themeColor="accent1"/>
      <w14:textFill>
        <w14:solidFill>
          <w14:schemeClr w14:val="accent1"/>
        </w14:solidFill>
      </w14:textFill>
    </w:rPr>
  </w:style>
  <w:style w:type="character" w:customStyle="1" w:styleId="161">
    <w:name w:val="Subtle Reference"/>
    <w:basedOn w:val="133"/>
    <w:qFormat/>
    <w:uiPriority w:val="31"/>
    <w:rPr>
      <w:smallCaps/>
      <w:color w:val="C0504D" w:themeColor="accent2"/>
      <w:u w:val="single"/>
      <w14:textFill>
        <w14:solidFill>
          <w14:schemeClr w14:val="accent2"/>
        </w14:solidFill>
      </w14:textFill>
    </w:rPr>
  </w:style>
  <w:style w:type="character" w:customStyle="1" w:styleId="162">
    <w:name w:val="Intense Reference"/>
    <w:basedOn w:val="133"/>
    <w:qFormat/>
    <w:uiPriority w:val="32"/>
    <w:rPr>
      <w:b/>
      <w:bCs/>
      <w:smallCaps/>
      <w:color w:val="C0504D" w:themeColor="accent2"/>
      <w:spacing w:val="5"/>
      <w:u w:val="single"/>
      <w14:textFill>
        <w14:solidFill>
          <w14:schemeClr w14:val="accent2"/>
        </w14:solidFill>
      </w14:textFill>
    </w:rPr>
  </w:style>
  <w:style w:type="character" w:customStyle="1" w:styleId="163">
    <w:name w:val="Book Title"/>
    <w:basedOn w:val="133"/>
    <w:qFormat/>
    <w:uiPriority w:val="33"/>
    <w:rPr>
      <w:b/>
      <w:bCs/>
      <w:smallCaps/>
      <w:spacing w:val="5"/>
    </w:rPr>
  </w:style>
  <w:style w:type="paragraph" w:customStyle="1" w:styleId="164">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4519</Words>
  <Characters>5205</Characters>
  <Lines>0</Lines>
  <Paragraphs>0</Paragraphs>
  <TotalTime>99</TotalTime>
  <ScaleCrop>false</ScaleCrop>
  <LinksUpToDate>false</LinksUpToDate>
  <CharactersWithSpaces>5280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王腾祺</cp:lastModifiedBy>
  <dcterms:modified xsi:type="dcterms:W3CDTF">2025-11-11T15:06:48Z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eyJoZGlkIjoiODg3M2RjMWE3ZWVjY2EzN2VkNTIyYjY3M2Q5NGE0MzMiLCJ1c2VySWQiOiIxNDgwMTQyMTM0In0=</vt:lpwstr>
  </property>
  <property fmtid="{D5CDD505-2E9C-101B-9397-08002B2CF9AE}" pid="3" name="KSOProductBuildVer">
    <vt:lpwstr>2052-12.1.0.23542</vt:lpwstr>
  </property>
  <property fmtid="{D5CDD505-2E9C-101B-9397-08002B2CF9AE}" pid="4" name="ICV">
    <vt:lpwstr>EF2F12D979034DC0AD9729E52AA04133_13</vt:lpwstr>
  </property>
</Properties>
</file>