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6EFD8">
      <w:pPr>
        <w:pStyle w:val="3"/>
        <w:jc w:val="center"/>
        <w:rPr>
          <w:rFonts w:hint="eastAsia" w:ascii="微软雅黑" w:hAnsi="微软雅黑" w:eastAsia="微软雅黑" w:cs="微软雅黑"/>
          <w:sz w:val="32"/>
          <w:szCs w:val="32"/>
        </w:rPr>
      </w:pPr>
      <w:bookmarkStart w:id="0" w:name="_GoBack"/>
      <w:bookmarkEnd w:id="0"/>
      <w:r>
        <w:rPr>
          <w:rFonts w:hint="eastAsia" w:ascii="微软雅黑" w:hAnsi="微软雅黑" w:eastAsia="微软雅黑" w:cs="微软雅黑"/>
          <w:sz w:val="32"/>
          <w:szCs w:val="32"/>
        </w:rPr>
        <w:t>巴彦淖尔市医院胃肠外科临床研究十年规划（2025–2035）</w:t>
      </w:r>
    </w:p>
    <w:p w14:paraId="40A034D4">
      <w:pPr>
        <w:pStyle w:val="4"/>
        <w:keepNext w:val="0"/>
        <w:keepLines w:val="0"/>
        <w:widowControl/>
        <w:suppressLineNumbers w:val="0"/>
      </w:pPr>
    </w:p>
    <w:p w14:paraId="63BAF969">
      <w:pPr>
        <w:pStyle w:val="4"/>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一、规划背景与定位</w:t>
      </w:r>
    </w:p>
    <w:p w14:paraId="5AD4F261">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为贯彻落实《巴彦淖尔市医院胃肠外科科研与学科建设十年规划（2025–2035）》总体要求，全面推进科研转型与高质量发展，特制定本临床研究专项规划。</w:t>
      </w:r>
    </w:p>
    <w:p w14:paraId="10B7788D">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过去二十余年，科室依托 DIDTS（1:2-7-21）整合诊疗体系、ERAS 与 SPC-ERAS 围术期管理理念、PRI/PARI/PoRA-6 风险管理体系，以及腹腔镜、胃肠镜、TEM、EFTR 等微创技术群，形成了较为系统的诊疗体系和原创技术体系，为建设以研究者发起研究（IIT）和真实世界研究（RWE）为核心的临床研究平台奠定了坚实基础。</w:t>
      </w:r>
    </w:p>
    <w:p w14:paraId="1ED06B55">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本规划立足科室实际病例量、技术结构与团队能力，坚持“小样本起步、方法学优先、真实世界验证、循证医学导向”的总体策略，旨在构建结构合理、路径明确、可持续十年的临床研究体系，支撑市级科技项目、自治区医师协会项目和自治区社会公益重点研发项目的持续申报与产出。</w:t>
      </w:r>
    </w:p>
    <w:p w14:paraId="59D51BD9">
      <w:pPr>
        <w:pStyle w:val="4"/>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二、前期基础</w:t>
      </w:r>
    </w:p>
    <w:p w14:paraId="09B7A18E">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（一）</w:t>
      </w:r>
      <w:r>
        <w:rPr>
          <w:rStyle w:val="134"/>
          <w:rFonts w:hint="eastAsia" w:ascii="宋体" w:hAnsi="宋体" w:eastAsia="宋体" w:cs="宋体"/>
          <w:sz w:val="24"/>
          <w:szCs w:val="24"/>
        </w:rPr>
        <w:t>技术体系与原创工作基础</w:t>
      </w:r>
    </w:p>
    <w:p w14:paraId="6BE6731D">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科室已形成以腹腔镜胃肠肿瘤根治术、胃肠镜早癌治疗（ESD/EFTR）、TEM、CETC、NOSES 为代表的“七镜微创技术群”，并提出 PMST-LGS、CETC-SAPC、SPC-ERAS、PRI 等原创术式与术语，为持续性临床研究提供了高质量技术平台。</w:t>
      </w:r>
    </w:p>
    <w:p w14:paraId="25E5C896">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w:t>
      </w:r>
      <w:r>
        <w:rPr>
          <w:rStyle w:val="134"/>
          <w:rFonts w:hint="eastAsia" w:ascii="宋体" w:hAnsi="宋体" w:eastAsia="宋体" w:cs="宋体"/>
          <w:sz w:val="24"/>
          <w:szCs w:val="24"/>
        </w:rPr>
        <w:t>病例基础与诊疗链条</w:t>
      </w:r>
    </w:p>
    <w:p w14:paraId="636DD6C2">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科室每年完成胃癌约 40 例、结直肠癌约 120 例，具备稳定的肿瘤手术病例池。ESD、EFTR、TEM、CETC 虽病例有限，但连续性好、质量高，适合小样本与病例组合研究。围术期管理体系逐步规范，可支持围术期风险预测模型开发。</w:t>
      </w:r>
    </w:p>
    <w:p w14:paraId="3648506B">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（三）</w:t>
      </w:r>
      <w:r>
        <w:rPr>
          <w:rStyle w:val="134"/>
          <w:rFonts w:hint="eastAsia" w:ascii="宋体" w:hAnsi="宋体" w:eastAsia="宋体" w:cs="宋体"/>
          <w:sz w:val="24"/>
          <w:szCs w:val="24"/>
        </w:rPr>
        <w:t>科研平台条件</w:t>
      </w:r>
    </w:p>
    <w:p w14:paraId="39576803">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具备伦理管理、数据采集、随访体系等起步基础；具备国家级普通外科内镜医师培训基地、自治区级重点学科平台、医工融合合作网络（西安交通大学、哈尔滨工业大学等），能够支撑长期临床研究体系建设。</w:t>
      </w:r>
    </w:p>
    <w:p w14:paraId="7E26B996">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（四）</w:t>
      </w:r>
      <w:r>
        <w:rPr>
          <w:rStyle w:val="134"/>
          <w:rFonts w:hint="eastAsia" w:ascii="宋体" w:hAnsi="宋体" w:eastAsia="宋体" w:cs="宋体"/>
          <w:sz w:val="24"/>
          <w:szCs w:val="24"/>
        </w:rPr>
        <w:t>项目与成果基础</w:t>
      </w:r>
    </w:p>
    <w:p w14:paraId="0465BF43">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已承担国家自然科学基金、自治区重点研发、市级科技项目等 20 余项，形成 SCI、核心期刊、专利成果等基础，为未来十年规划的实施奠定良好起点。</w:t>
      </w:r>
    </w:p>
    <w:p w14:paraId="67D2429D">
      <w:pPr>
        <w:pStyle w:val="4"/>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三、总体规划结构</w:t>
      </w:r>
    </w:p>
    <w:p w14:paraId="055CA981">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为确保规划可执行、可评估、可持续，本规划构建“</w:t>
      </w:r>
      <w:r>
        <w:rPr>
          <w:rStyle w:val="134"/>
          <w:rFonts w:hint="eastAsia" w:ascii="宋体" w:hAnsi="宋体" w:eastAsia="宋体" w:cs="宋体"/>
          <w:sz w:val="24"/>
          <w:szCs w:val="24"/>
        </w:rPr>
        <w:t>三大主线 + 两个拓展方向</w:t>
      </w:r>
      <w:r>
        <w:rPr>
          <w:rFonts w:hint="eastAsia" w:ascii="宋体" w:hAnsi="宋体" w:eastAsia="宋体" w:cs="宋体"/>
          <w:sz w:val="24"/>
          <w:szCs w:val="24"/>
        </w:rPr>
        <w:t>”的研究框架：</w:t>
      </w:r>
    </w:p>
    <w:p w14:paraId="16C87688">
      <w:pPr>
        <w:pStyle w:val="5"/>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三大主线（核心方向）</w:t>
      </w:r>
    </w:p>
    <w:p w14:paraId="5B40E6E3">
      <w:pPr>
        <w:pStyle w:val="30"/>
        <w:keepNext w:val="0"/>
        <w:keepLines w:val="0"/>
        <w:widowControl/>
        <w:numPr>
          <w:ilvl w:val="0"/>
          <w:numId w:val="7"/>
        </w:numPr>
        <w:suppressLineNumbers w:val="0"/>
        <w:ind w:left="425" w:leftChars="0" w:hanging="425" w:firstLineChars="0"/>
        <w:rPr>
          <w:rFonts w:hint="eastAsia" w:ascii="宋体" w:hAnsi="宋体" w:eastAsia="宋体" w:cs="宋体"/>
          <w:sz w:val="24"/>
          <w:szCs w:val="24"/>
        </w:rPr>
      </w:pPr>
      <w:r>
        <w:rPr>
          <w:rStyle w:val="134"/>
          <w:rFonts w:hint="eastAsia" w:ascii="宋体" w:hAnsi="宋体" w:eastAsia="宋体" w:cs="宋体"/>
          <w:sz w:val="24"/>
          <w:szCs w:val="24"/>
        </w:rPr>
        <w:t>DIDTS 微创技术真实世界研究（RWE）平台建设</w:t>
      </w:r>
    </w:p>
    <w:p w14:paraId="5E88FE82">
      <w:pPr>
        <w:pStyle w:val="30"/>
        <w:keepNext w:val="0"/>
        <w:keepLines w:val="0"/>
        <w:widowControl/>
        <w:numPr>
          <w:ilvl w:val="0"/>
          <w:numId w:val="7"/>
        </w:numPr>
        <w:suppressLineNumbers w:val="0"/>
        <w:ind w:left="425" w:leftChars="0" w:hanging="425" w:firstLineChars="0"/>
        <w:rPr>
          <w:rFonts w:hint="eastAsia" w:ascii="宋体" w:hAnsi="宋体" w:eastAsia="宋体" w:cs="宋体"/>
          <w:sz w:val="24"/>
          <w:szCs w:val="24"/>
        </w:rPr>
      </w:pPr>
      <w:r>
        <w:rPr>
          <w:rStyle w:val="134"/>
          <w:rFonts w:hint="eastAsia" w:ascii="宋体" w:hAnsi="宋体" w:eastAsia="宋体" w:cs="宋体"/>
          <w:sz w:val="24"/>
          <w:szCs w:val="24"/>
        </w:rPr>
        <w:t>PRI—PoRA-6 围术期风险预测体系构建</w:t>
      </w:r>
      <w:r>
        <w:rPr>
          <w:rFonts w:hint="eastAsia" w:ascii="宋体" w:hAnsi="宋体" w:eastAsia="宋体" w:cs="宋体"/>
          <w:sz w:val="24"/>
          <w:szCs w:val="24"/>
        </w:rPr>
        <w:t>（从单模型起步）</w:t>
      </w:r>
    </w:p>
    <w:p w14:paraId="7B52CFD4">
      <w:pPr>
        <w:pStyle w:val="30"/>
        <w:keepNext w:val="0"/>
        <w:keepLines w:val="0"/>
        <w:widowControl/>
        <w:numPr>
          <w:ilvl w:val="0"/>
          <w:numId w:val="7"/>
        </w:numPr>
        <w:suppressLineNumbers w:val="0"/>
        <w:ind w:left="425" w:leftChars="0" w:hanging="425" w:firstLineChars="0"/>
        <w:rPr>
          <w:rFonts w:hint="eastAsia" w:ascii="宋体" w:hAnsi="宋体" w:eastAsia="宋体" w:cs="宋体"/>
          <w:sz w:val="24"/>
          <w:szCs w:val="24"/>
        </w:rPr>
      </w:pPr>
      <w:r>
        <w:rPr>
          <w:rStyle w:val="134"/>
          <w:rFonts w:hint="eastAsia" w:ascii="宋体" w:hAnsi="宋体" w:eastAsia="宋体" w:cs="宋体"/>
          <w:sz w:val="24"/>
          <w:szCs w:val="24"/>
        </w:rPr>
        <w:t>SPC-ERAS 围术期全过程管理的高频监测与真实世界研究</w:t>
      </w:r>
    </w:p>
    <w:p w14:paraId="7144934A">
      <w:pPr>
        <w:pStyle w:val="5"/>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两个拓展方向（潜力方向，不作为主考核指标）</w:t>
      </w:r>
    </w:p>
    <w:p w14:paraId="1F30D720">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A. 空肠间置术的功能、反流控制与小样本混合研究</w:t>
      </w:r>
      <w:r>
        <w:rPr>
          <w:rFonts w:hint="eastAsia" w:ascii="宋体" w:hAnsi="宋体" w:eastAsia="宋体" w:cs="宋体"/>
          <w:sz w:val="24"/>
          <w:szCs w:val="24"/>
        </w:rPr>
        <w:br w:type="textWrapping"/>
      </w:r>
      <w:r>
        <w:rPr>
          <w:rFonts w:hint="eastAsia" w:ascii="宋体" w:hAnsi="宋体" w:eastAsia="宋体" w:cs="宋体"/>
          <w:sz w:val="24"/>
          <w:szCs w:val="24"/>
        </w:rPr>
        <w:t>B. 胃肠肿瘤精准治疗（ESD/EFTR/TEM/CETC）病例组合研究</w:t>
      </w:r>
    </w:p>
    <w:p w14:paraId="0CF046A5">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该结构充分体现“重点聚焦、循序渐进”的策略，符合科室实际病例量与技术能力。</w:t>
      </w:r>
    </w:p>
    <w:p w14:paraId="023E8FA7">
      <w:pPr>
        <w:pStyle w:val="3"/>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四、三大主线实施方案</w:t>
      </w:r>
    </w:p>
    <w:p w14:paraId="4AC915C6">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主线一：DIDTS 微创技术 RWE 平台建设</w:t>
      </w:r>
    </w:p>
    <w:p w14:paraId="5F0DF21B">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（一）</w:t>
      </w:r>
      <w:r>
        <w:rPr>
          <w:rStyle w:val="134"/>
          <w:rFonts w:hint="eastAsia" w:ascii="宋体" w:hAnsi="宋体" w:eastAsia="宋体" w:cs="宋体"/>
          <w:sz w:val="24"/>
          <w:szCs w:val="24"/>
        </w:rPr>
        <w:t>建设原则</w:t>
      </w:r>
    </w:p>
    <w:p w14:paraId="34F41F12">
      <w:pPr>
        <w:pStyle w:val="30"/>
        <w:keepNext w:val="0"/>
        <w:keepLines w:val="0"/>
        <w:widowControl/>
        <w:numPr>
          <w:ilvl w:val="0"/>
          <w:numId w:val="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聚焦病例量充足的腹腔镜胃癌、结直肠癌根治术</w:t>
      </w:r>
    </w:p>
    <w:p w14:paraId="7373BA20">
      <w:pPr>
        <w:pStyle w:val="30"/>
        <w:keepNext w:val="0"/>
        <w:keepLines w:val="0"/>
        <w:widowControl/>
        <w:numPr>
          <w:ilvl w:val="0"/>
          <w:numId w:val="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对 ESD、EFTR 建立可持续队列</w:t>
      </w:r>
    </w:p>
    <w:p w14:paraId="616105B5">
      <w:pPr>
        <w:pStyle w:val="30"/>
        <w:keepNext w:val="0"/>
        <w:keepLines w:val="0"/>
        <w:widowControl/>
        <w:numPr>
          <w:ilvl w:val="0"/>
          <w:numId w:val="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TEM、CETC、STER 等病例量不足的技术采用病例库模式</w:t>
      </w:r>
    </w:p>
    <w:p w14:paraId="3CEE6862">
      <w:pPr>
        <w:pStyle w:val="30"/>
        <w:keepNext w:val="0"/>
        <w:keepLines w:val="0"/>
        <w:widowControl/>
        <w:numPr>
          <w:ilvl w:val="0"/>
          <w:numId w:val="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逐步实现从回顾性研究 → 前瞻性小样本队列 → 区域标准的跨越</w:t>
      </w:r>
    </w:p>
    <w:p w14:paraId="23E35FB8">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w:t>
      </w:r>
      <w:r>
        <w:rPr>
          <w:rStyle w:val="134"/>
          <w:rFonts w:hint="eastAsia" w:ascii="宋体" w:hAnsi="宋体" w:eastAsia="宋体" w:cs="宋体"/>
          <w:sz w:val="24"/>
          <w:szCs w:val="24"/>
        </w:rPr>
        <w:t>实施路径</w:t>
      </w:r>
    </w:p>
    <w:p w14:paraId="67BF4203">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1. 2025–2027（基础建设期）</w:t>
      </w:r>
    </w:p>
    <w:p w14:paraId="7E496DDA">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建立 DIDTS-RWS 数据库</w:t>
      </w:r>
    </w:p>
    <w:p w14:paraId="54AE2A57">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完成胃癌、结直肠癌手术前瞻性观察性队列</w:t>
      </w:r>
    </w:p>
    <w:p w14:paraId="3F885D30">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建立 ESD、EFTR 质量控制与结局指标体系</w:t>
      </w:r>
    </w:p>
    <w:p w14:paraId="17D4940C">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2. 2028–2031（体系成型期）</w:t>
      </w:r>
    </w:p>
    <w:p w14:paraId="67267BF7">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扩大队列样本</w:t>
      </w:r>
    </w:p>
    <w:p w14:paraId="58A23EC3">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建立 TEM/CETC/STER 病例库</w:t>
      </w:r>
    </w:p>
    <w:p w14:paraId="010CC781">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开展手术质量控制与短期并发症真实世界研究</w:t>
      </w:r>
    </w:p>
    <w:p w14:paraId="742183B8">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3. 2032–2035（标准输出期）</w:t>
      </w:r>
    </w:p>
    <w:p w14:paraId="2243CA9E">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形成 DIDTS 临床路径</w:t>
      </w:r>
    </w:p>
    <w:p w14:paraId="57137C71">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输出区域微创技术评价标准与专家共识</w:t>
      </w:r>
    </w:p>
    <w:p w14:paraId="0C006DEA">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主线二：PRI—PoRA-6 围术期风险预测体系</w:t>
      </w:r>
    </w:p>
    <w:p w14:paraId="7D3F0104">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鉴于三模型同步研发的可行性不足，规划采用“单模型突破”策略。</w:t>
      </w:r>
    </w:p>
    <w:p w14:paraId="0411051C">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（一）</w:t>
      </w:r>
      <w:r>
        <w:rPr>
          <w:rStyle w:val="134"/>
          <w:rFonts w:hint="eastAsia" w:ascii="宋体" w:hAnsi="宋体" w:eastAsia="宋体" w:cs="宋体"/>
          <w:sz w:val="24"/>
          <w:szCs w:val="24"/>
        </w:rPr>
        <w:t>总体策略</w:t>
      </w:r>
      <w:r>
        <w:rPr>
          <w:rFonts w:hint="eastAsia" w:ascii="宋体" w:hAnsi="宋体" w:eastAsia="宋体" w:cs="宋体"/>
          <w:sz w:val="24"/>
          <w:szCs w:val="24"/>
        </w:rPr>
        <w:br w:type="textWrapping"/>
      </w:r>
      <w:r>
        <w:rPr>
          <w:rFonts w:hint="eastAsia" w:ascii="宋体" w:hAnsi="宋体" w:eastAsia="宋体" w:cs="宋体"/>
          <w:sz w:val="24"/>
          <w:szCs w:val="24"/>
        </w:rPr>
        <w:t>以 PoRA-6 为突破口，PRI、PARI 作为小样本概念验证。</w:t>
      </w:r>
    </w:p>
    <w:p w14:paraId="3C225768">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w:t>
      </w:r>
      <w:r>
        <w:rPr>
          <w:rStyle w:val="134"/>
          <w:rFonts w:hint="eastAsia" w:ascii="宋体" w:hAnsi="宋体" w:eastAsia="宋体" w:cs="宋体"/>
          <w:sz w:val="24"/>
          <w:szCs w:val="24"/>
        </w:rPr>
        <w:t>实施步骤</w:t>
      </w:r>
    </w:p>
    <w:p w14:paraId="624AEBD6">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1. 2025–2027：PoRA-6 初级模型开发</w:t>
      </w:r>
    </w:p>
    <w:p w14:paraId="40684F0A">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建立术后 72 小时监测指标体系</w:t>
      </w:r>
    </w:p>
    <w:p w14:paraId="5887F33A">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完成单中心风险因素分析（市级、协会项目）</w:t>
      </w:r>
    </w:p>
    <w:p w14:paraId="05CAFEBC">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2. 2028–2031：模型优化与外部验证</w:t>
      </w:r>
    </w:p>
    <w:p w14:paraId="47666FE2">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与盟市医院建立多中心小样本合作</w:t>
      </w:r>
    </w:p>
    <w:p w14:paraId="2161246B">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完成模型校准与验证研究（社会公益项目）</w:t>
      </w:r>
    </w:p>
    <w:p w14:paraId="64C14270">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3. 2032–2035：形成区域标准化预警体系</w:t>
      </w:r>
    </w:p>
    <w:p w14:paraId="31B4DBE9">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发布区域 PoRA-6 风险预警指南</w:t>
      </w:r>
    </w:p>
    <w:p w14:paraId="1752DD48">
      <w:pPr>
        <w:pStyle w:val="30"/>
        <w:keepNext w:val="0"/>
        <w:keepLines w:val="0"/>
        <w:widowControl/>
        <w:numPr>
          <w:ilvl w:val="0"/>
          <w:numId w:val="9"/>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逐步推广应用并纳入临床路径</w:t>
      </w:r>
    </w:p>
    <w:p w14:paraId="4260F1EF">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主线三：SPC-ERAS 围术期全过程真实世界研究</w:t>
      </w:r>
    </w:p>
    <w:p w14:paraId="41FFB705">
      <w:pPr>
        <w:pStyle w:val="30"/>
        <w:keepNext w:val="0"/>
        <w:keepLines w:val="0"/>
        <w:widowControl/>
        <w:numPr>
          <w:ilvl w:val="0"/>
          <w:numId w:val="10"/>
        </w:numPr>
        <w:suppressLineNumbers w:val="0"/>
        <w:ind w:left="480" w:hanging="482" w:hangingChars="200"/>
        <w:rPr>
          <w:rStyle w:val="134"/>
          <w:rFonts w:hint="eastAsia" w:ascii="宋体" w:hAnsi="宋体" w:eastAsia="宋体" w:cs="宋体"/>
          <w:sz w:val="24"/>
          <w:szCs w:val="24"/>
        </w:rPr>
      </w:pPr>
      <w:r>
        <w:rPr>
          <w:rStyle w:val="134"/>
          <w:rFonts w:hint="eastAsia" w:ascii="宋体" w:hAnsi="宋体" w:eastAsia="宋体" w:cs="宋体"/>
          <w:sz w:val="24"/>
          <w:szCs w:val="24"/>
        </w:rPr>
        <w:t>研究定位</w:t>
      </w:r>
    </w:p>
    <w:p w14:paraId="6AB3492B">
      <w:pPr>
        <w:pStyle w:val="30"/>
        <w:keepNext w:val="0"/>
        <w:keepLines w:val="0"/>
        <w:widowControl/>
        <w:numPr>
          <w:ilvl w:val="0"/>
          <w:numId w:val="0"/>
        </w:numPr>
        <w:suppressLineNumbers w:val="0"/>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不直接定位区域示范，而从“可行性研究 + 小队列验证”起步，逐步构建分层推广体系。</w:t>
      </w:r>
    </w:p>
    <w:p w14:paraId="4523CA2C">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w:t>
      </w:r>
      <w:r>
        <w:rPr>
          <w:rStyle w:val="134"/>
          <w:rFonts w:hint="eastAsia" w:ascii="宋体" w:hAnsi="宋体" w:eastAsia="宋体" w:cs="宋体"/>
          <w:sz w:val="24"/>
          <w:szCs w:val="24"/>
        </w:rPr>
        <w:t>实施路径</w:t>
      </w:r>
    </w:p>
    <w:p w14:paraId="282EBDAD">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1. 2025–2027（可行性验证）</w:t>
      </w:r>
    </w:p>
    <w:p w14:paraId="6B96CC9B">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预适应训练方案可行性研究</w:t>
      </w:r>
    </w:p>
    <w:p w14:paraId="6789F72E">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术前体能评估、术后活动量、肠鸣音等关键节点指标采集</w:t>
      </w:r>
    </w:p>
    <w:p w14:paraId="78FB4122">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建立 SPC-ERAS 初始队列（市级/医师协会项目）</w:t>
      </w:r>
    </w:p>
    <w:p w14:paraId="6785C787">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2. 2028–2031（融合 PRI/PoRA-6）</w:t>
      </w:r>
    </w:p>
    <w:p w14:paraId="7970F39F">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构建围术期全过程风险节点模型</w:t>
      </w:r>
    </w:p>
    <w:p w14:paraId="25299BD0">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开展患者依从性与执行度研究</w:t>
      </w:r>
    </w:p>
    <w:p w14:paraId="16E7D36A">
      <w:pPr>
        <w:pStyle w:val="30"/>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sz w:val="24"/>
          <w:szCs w:val="24"/>
        </w:rPr>
        <w:t>3. 2032–2035（区域路径形成）</w:t>
      </w:r>
    </w:p>
    <w:p w14:paraId="6F48D3C9">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发布“BYN-SPC-ERAS 模式”</w:t>
      </w:r>
    </w:p>
    <w:p w14:paraId="1BA8F7F6">
      <w:pPr>
        <w:pStyle w:val="30"/>
        <w:keepNext w:val="0"/>
        <w:keepLines w:val="0"/>
        <w:widowControl/>
        <w:numPr>
          <w:ilvl w:val="0"/>
          <w:numId w:val="1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与盟市医院开展真实世界应用研究</w:t>
      </w:r>
    </w:p>
    <w:p w14:paraId="1B5F61CF">
      <w:pPr>
        <w:pStyle w:val="3"/>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五、拓展方向</w:t>
      </w:r>
    </w:p>
    <w:p w14:paraId="6FB9B7E9">
      <w:pPr>
        <w:keepNext w:val="0"/>
        <w:keepLines w:val="0"/>
        <w:widowControl/>
        <w:suppressLineNumbers w:val="0"/>
        <w:rPr>
          <w:rFonts w:hint="eastAsia" w:ascii="宋体" w:hAnsi="宋体" w:eastAsia="宋体" w:cs="宋体"/>
          <w:sz w:val="24"/>
          <w:szCs w:val="24"/>
        </w:rPr>
      </w:pPr>
    </w:p>
    <w:p w14:paraId="393571BD">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拓展方向 A：空肠间置术的小样本混合研究</w:t>
      </w:r>
    </w:p>
    <w:p w14:paraId="11E7BD2F">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鉴于年度病例量不高，采取以下策略：</w:t>
      </w:r>
    </w:p>
    <w:p w14:paraId="0BBDC975">
      <w:pPr>
        <w:pStyle w:val="30"/>
        <w:keepNext w:val="0"/>
        <w:keepLines w:val="0"/>
        <w:widowControl/>
        <w:numPr>
          <w:ilvl w:val="0"/>
          <w:numId w:val="12"/>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建立十年连续病例库</w:t>
      </w:r>
    </w:p>
    <w:p w14:paraId="5485E558">
      <w:pPr>
        <w:pStyle w:val="30"/>
        <w:keepNext w:val="0"/>
        <w:keepLines w:val="0"/>
        <w:widowControl/>
        <w:numPr>
          <w:ilvl w:val="0"/>
          <w:numId w:val="12"/>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采用回顾性 + 前瞻性混合设计</w:t>
      </w:r>
    </w:p>
    <w:p w14:paraId="54B04C8C">
      <w:pPr>
        <w:pStyle w:val="30"/>
        <w:keepNext w:val="0"/>
        <w:keepLines w:val="0"/>
        <w:widowControl/>
        <w:numPr>
          <w:ilvl w:val="0"/>
          <w:numId w:val="12"/>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重点研究反流控制机制、营养功能与十二指肠通路保留的生理影响</w:t>
      </w:r>
    </w:p>
    <w:p w14:paraId="499AD865">
      <w:pPr>
        <w:pStyle w:val="30"/>
        <w:keepNext w:val="0"/>
        <w:keepLines w:val="0"/>
        <w:widowControl/>
        <w:numPr>
          <w:ilvl w:val="0"/>
          <w:numId w:val="12"/>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2032 年后形成专家共识草案</w:t>
      </w:r>
    </w:p>
    <w:p w14:paraId="16387110">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拓展方向 B：胃肠肿瘤精准治疗病例组合研究</w:t>
      </w:r>
    </w:p>
    <w:p w14:paraId="6F0C9CBB">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围绕 ESD、EFTR、TEM、CETC 建立“病例组合研究”模式：</w:t>
      </w:r>
    </w:p>
    <w:p w14:paraId="4D4574C4">
      <w:pPr>
        <w:pStyle w:val="30"/>
        <w:keepNext w:val="0"/>
        <w:keepLines w:val="0"/>
        <w:widowControl/>
        <w:numPr>
          <w:ilvl w:val="0"/>
          <w:numId w:val="13"/>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不设大规模队列</w:t>
      </w:r>
    </w:p>
    <w:p w14:paraId="1912247C">
      <w:pPr>
        <w:pStyle w:val="30"/>
        <w:keepNext w:val="0"/>
        <w:keepLines w:val="0"/>
        <w:widowControl/>
        <w:numPr>
          <w:ilvl w:val="0"/>
          <w:numId w:val="13"/>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通过十年累积 300 例以上病例组合，形成适应证选择模型</w:t>
      </w:r>
    </w:p>
    <w:p w14:paraId="3F038231">
      <w:pPr>
        <w:pStyle w:val="30"/>
        <w:keepNext w:val="0"/>
        <w:keepLines w:val="0"/>
        <w:widowControl/>
        <w:numPr>
          <w:ilvl w:val="0"/>
          <w:numId w:val="13"/>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2032–2035 形成区域性共识</w:t>
      </w:r>
    </w:p>
    <w:p w14:paraId="31371BE0">
      <w:pPr>
        <w:pStyle w:val="3"/>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六、科研项目分层布局</w:t>
      </w:r>
    </w:p>
    <w:p w14:paraId="0EF121C2">
      <w:pPr>
        <w:pStyle w:val="4"/>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（一）市级科技项目：1–2 项/年</w:t>
      </w:r>
    </w:p>
    <w:p w14:paraId="7057449A">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方向：</w:t>
      </w:r>
    </w:p>
    <w:p w14:paraId="1B1D8F78">
      <w:pPr>
        <w:pStyle w:val="30"/>
        <w:keepNext w:val="0"/>
        <w:keepLines w:val="0"/>
        <w:widowControl/>
        <w:numPr>
          <w:ilvl w:val="0"/>
          <w:numId w:val="14"/>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PoRA-6 初期模型</w:t>
      </w:r>
    </w:p>
    <w:p w14:paraId="1FEB2562">
      <w:pPr>
        <w:pStyle w:val="30"/>
        <w:keepNext w:val="0"/>
        <w:keepLines w:val="0"/>
        <w:widowControl/>
        <w:numPr>
          <w:ilvl w:val="0"/>
          <w:numId w:val="14"/>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ESD/EFTR 小样本研究</w:t>
      </w:r>
    </w:p>
    <w:p w14:paraId="054A76D7">
      <w:pPr>
        <w:pStyle w:val="30"/>
        <w:keepNext w:val="0"/>
        <w:keepLines w:val="0"/>
        <w:widowControl/>
        <w:numPr>
          <w:ilvl w:val="0"/>
          <w:numId w:val="14"/>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SPC-ERAS 可行性研究</w:t>
      </w:r>
    </w:p>
    <w:p w14:paraId="5809E74E">
      <w:pPr>
        <w:pStyle w:val="30"/>
        <w:keepNext w:val="0"/>
        <w:keepLines w:val="0"/>
        <w:widowControl/>
        <w:numPr>
          <w:ilvl w:val="0"/>
          <w:numId w:val="14"/>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TEM/CETC 病例系列</w:t>
      </w:r>
    </w:p>
    <w:p w14:paraId="634F9ABA">
      <w:pPr>
        <w:pStyle w:val="30"/>
        <w:keepNext w:val="0"/>
        <w:keepLines w:val="0"/>
        <w:widowControl/>
        <w:numPr>
          <w:ilvl w:val="0"/>
          <w:numId w:val="14"/>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手术流程优化研究</w:t>
      </w:r>
    </w:p>
    <w:p w14:paraId="0E2E1F35">
      <w:pPr>
        <w:pStyle w:val="4"/>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（二）自治区医师协会项目：1 项/年</w:t>
      </w:r>
    </w:p>
    <w:p w14:paraId="3FF110F0">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方向：</w:t>
      </w:r>
    </w:p>
    <w:p w14:paraId="3A6B4C30">
      <w:pPr>
        <w:pStyle w:val="30"/>
        <w:keepNext w:val="0"/>
        <w:keepLines w:val="0"/>
        <w:widowControl/>
        <w:numPr>
          <w:ilvl w:val="0"/>
          <w:numId w:val="15"/>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PRI 概念验证</w:t>
      </w:r>
    </w:p>
    <w:p w14:paraId="482D28D0">
      <w:pPr>
        <w:pStyle w:val="30"/>
        <w:keepNext w:val="0"/>
        <w:keepLines w:val="0"/>
        <w:widowControl/>
        <w:numPr>
          <w:ilvl w:val="0"/>
          <w:numId w:val="15"/>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PoRA-6 指标标准化</w:t>
      </w:r>
    </w:p>
    <w:p w14:paraId="3E7B6848">
      <w:pPr>
        <w:pStyle w:val="30"/>
        <w:keepNext w:val="0"/>
        <w:keepLines w:val="0"/>
        <w:widowControl/>
        <w:numPr>
          <w:ilvl w:val="0"/>
          <w:numId w:val="15"/>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SPC-ERAS 节点质量研究</w:t>
      </w:r>
    </w:p>
    <w:p w14:paraId="28CD8E4B">
      <w:pPr>
        <w:pStyle w:val="4"/>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（三）自治区社会公益项目：每 3 年 1 项</w:t>
      </w:r>
    </w:p>
    <w:p w14:paraId="02F3548F">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方向：</w:t>
      </w:r>
    </w:p>
    <w:p w14:paraId="6FAA166F">
      <w:pPr>
        <w:pStyle w:val="30"/>
        <w:keepNext w:val="0"/>
        <w:keepLines w:val="0"/>
        <w:widowControl/>
        <w:numPr>
          <w:ilvl w:val="0"/>
          <w:numId w:val="16"/>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PoRA-6 综合预测体系</w:t>
      </w:r>
    </w:p>
    <w:p w14:paraId="73AF74C0">
      <w:pPr>
        <w:pStyle w:val="30"/>
        <w:keepNext w:val="0"/>
        <w:keepLines w:val="0"/>
        <w:widowControl/>
        <w:numPr>
          <w:ilvl w:val="0"/>
          <w:numId w:val="16"/>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DIDTS 区域 RWE 平台</w:t>
      </w:r>
    </w:p>
    <w:p w14:paraId="70076870">
      <w:pPr>
        <w:pStyle w:val="30"/>
        <w:keepNext w:val="0"/>
        <w:keepLines w:val="0"/>
        <w:widowControl/>
        <w:numPr>
          <w:ilvl w:val="0"/>
          <w:numId w:val="16"/>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BYN-SPC-ERAS 区域示范体系</w:t>
      </w:r>
    </w:p>
    <w:p w14:paraId="0EA44656">
      <w:pPr>
        <w:pStyle w:val="3"/>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七、分阶段实施路线（2025–2035）</w:t>
      </w:r>
    </w:p>
    <w:p w14:paraId="77E3B0ED">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第一阶段：基础构建期（2025–2027）</w:t>
      </w:r>
    </w:p>
    <w:p w14:paraId="0DF3643D">
      <w:pPr>
        <w:pStyle w:val="30"/>
        <w:keepNext w:val="0"/>
        <w:keepLines w:val="0"/>
        <w:widowControl/>
        <w:numPr>
          <w:ilvl w:val="0"/>
          <w:numId w:val="17"/>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建立临床研究基础平台</w:t>
      </w:r>
    </w:p>
    <w:p w14:paraId="4DDD299A">
      <w:pPr>
        <w:pStyle w:val="30"/>
        <w:keepNext w:val="0"/>
        <w:keepLines w:val="0"/>
        <w:widowControl/>
        <w:numPr>
          <w:ilvl w:val="0"/>
          <w:numId w:val="17"/>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完成三主线起步研究</w:t>
      </w:r>
    </w:p>
    <w:p w14:paraId="79707EE2">
      <w:pPr>
        <w:pStyle w:val="30"/>
        <w:keepNext w:val="0"/>
        <w:keepLines w:val="0"/>
        <w:widowControl/>
        <w:numPr>
          <w:ilvl w:val="0"/>
          <w:numId w:val="17"/>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建立 DIDTS-RWS 数据库</w:t>
      </w:r>
    </w:p>
    <w:p w14:paraId="7B89DE89">
      <w:pPr>
        <w:pStyle w:val="30"/>
        <w:keepNext w:val="0"/>
        <w:keepLines w:val="0"/>
        <w:widowControl/>
        <w:numPr>
          <w:ilvl w:val="0"/>
          <w:numId w:val="17"/>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完成 PoRA-6 初步模型</w:t>
      </w:r>
    </w:p>
    <w:p w14:paraId="7E5911A3">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第二阶段：体系成型期（2028–2031）</w:t>
      </w:r>
    </w:p>
    <w:p w14:paraId="6FE8EFC5">
      <w:pPr>
        <w:pStyle w:val="30"/>
        <w:keepNext w:val="0"/>
        <w:keepLines w:val="0"/>
        <w:widowControl/>
        <w:numPr>
          <w:ilvl w:val="0"/>
          <w:numId w:val="1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扩大队列规模</w:t>
      </w:r>
    </w:p>
    <w:p w14:paraId="365DC79A">
      <w:pPr>
        <w:pStyle w:val="30"/>
        <w:keepNext w:val="0"/>
        <w:keepLines w:val="0"/>
        <w:widowControl/>
        <w:numPr>
          <w:ilvl w:val="0"/>
          <w:numId w:val="1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完善模型</w:t>
      </w:r>
    </w:p>
    <w:p w14:paraId="7C3F9D4A">
      <w:pPr>
        <w:pStyle w:val="30"/>
        <w:keepNext w:val="0"/>
        <w:keepLines w:val="0"/>
        <w:widowControl/>
        <w:numPr>
          <w:ilvl w:val="0"/>
          <w:numId w:val="1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开展多中心研究</w:t>
      </w:r>
    </w:p>
    <w:p w14:paraId="1E6CA5DB">
      <w:pPr>
        <w:pStyle w:val="30"/>
        <w:keepNext w:val="0"/>
        <w:keepLines w:val="0"/>
        <w:widowControl/>
        <w:numPr>
          <w:ilvl w:val="0"/>
          <w:numId w:val="18"/>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完成 SPC-ERAS 风险节点模型</w:t>
      </w:r>
    </w:p>
    <w:p w14:paraId="152078DF">
      <w:pPr>
        <w:pStyle w:val="4"/>
        <w:keepNext w:val="0"/>
        <w:keepLines w:val="0"/>
        <w:widowControl/>
        <w:suppressLineNumbers w:val="0"/>
        <w:rPr>
          <w:rFonts w:hint="eastAsia" w:ascii="宋体" w:hAnsi="宋体" w:eastAsia="宋体" w:cs="宋体"/>
          <w:sz w:val="24"/>
          <w:szCs w:val="24"/>
        </w:rPr>
      </w:pPr>
      <w:r>
        <w:rPr>
          <w:rStyle w:val="134"/>
          <w:rFonts w:hint="eastAsia" w:ascii="宋体" w:hAnsi="宋体" w:eastAsia="宋体" w:cs="宋体"/>
          <w:b/>
          <w:bCs/>
          <w:sz w:val="24"/>
          <w:szCs w:val="24"/>
        </w:rPr>
        <w:t>第三阶段：标准输出期（2032–2035）</w:t>
      </w:r>
    </w:p>
    <w:p w14:paraId="13CFD51C">
      <w:pPr>
        <w:pStyle w:val="30"/>
        <w:keepNext w:val="0"/>
        <w:keepLines w:val="0"/>
        <w:widowControl/>
        <w:numPr>
          <w:ilvl w:val="0"/>
          <w:numId w:val="19"/>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发布至少 2 部区域专家共识/指南</w:t>
      </w:r>
    </w:p>
    <w:p w14:paraId="60273612">
      <w:pPr>
        <w:pStyle w:val="30"/>
        <w:keepNext w:val="0"/>
        <w:keepLines w:val="0"/>
        <w:widowControl/>
        <w:numPr>
          <w:ilvl w:val="0"/>
          <w:numId w:val="19"/>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完成 DIDTS 区域路径</w:t>
      </w:r>
    </w:p>
    <w:p w14:paraId="4D9FAC77">
      <w:pPr>
        <w:pStyle w:val="30"/>
        <w:keepNext w:val="0"/>
        <w:keepLines w:val="0"/>
        <w:widowControl/>
        <w:numPr>
          <w:ilvl w:val="0"/>
          <w:numId w:val="19"/>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完成 PoRA-6 区域预警系统</w:t>
      </w:r>
    </w:p>
    <w:p w14:paraId="4C7C73D5">
      <w:pPr>
        <w:pStyle w:val="30"/>
        <w:keepNext w:val="0"/>
        <w:keepLines w:val="0"/>
        <w:widowControl/>
        <w:numPr>
          <w:ilvl w:val="0"/>
          <w:numId w:val="19"/>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完成 SPC-ERAS 区域示范路径</w:t>
      </w:r>
    </w:p>
    <w:p w14:paraId="6E592C10">
      <w:pPr>
        <w:pStyle w:val="3"/>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八、预期成果</w:t>
      </w:r>
    </w:p>
    <w:p w14:paraId="63CEB2DC">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（一）</w:t>
      </w:r>
      <w:r>
        <w:rPr>
          <w:rStyle w:val="134"/>
          <w:rFonts w:hint="eastAsia" w:ascii="宋体" w:hAnsi="宋体" w:eastAsia="宋体" w:cs="宋体"/>
          <w:sz w:val="24"/>
          <w:szCs w:val="24"/>
        </w:rPr>
        <w:t>科研产出</w:t>
      </w:r>
    </w:p>
    <w:p w14:paraId="09EA538C">
      <w:pPr>
        <w:pStyle w:val="30"/>
        <w:keepNext w:val="0"/>
        <w:keepLines w:val="0"/>
        <w:widowControl/>
        <w:numPr>
          <w:ilvl w:val="0"/>
          <w:numId w:val="20"/>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SCI 论文 ≥ 20 篇</w:t>
      </w:r>
    </w:p>
    <w:p w14:paraId="6EE41EDF">
      <w:pPr>
        <w:pStyle w:val="30"/>
        <w:keepNext w:val="0"/>
        <w:keepLines w:val="0"/>
        <w:widowControl/>
        <w:numPr>
          <w:ilvl w:val="0"/>
          <w:numId w:val="20"/>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中文核心期刊论文 ≥ 50 篇</w:t>
      </w:r>
    </w:p>
    <w:p w14:paraId="3D968984">
      <w:pPr>
        <w:pStyle w:val="30"/>
        <w:keepNext w:val="0"/>
        <w:keepLines w:val="0"/>
        <w:widowControl/>
        <w:numPr>
          <w:ilvl w:val="0"/>
          <w:numId w:val="20"/>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专利 ≥ 8–10 项</w:t>
      </w:r>
    </w:p>
    <w:p w14:paraId="6454F4D9">
      <w:pPr>
        <w:pStyle w:val="30"/>
        <w:keepNext w:val="0"/>
        <w:keepLines w:val="0"/>
        <w:widowControl/>
        <w:numPr>
          <w:ilvl w:val="0"/>
          <w:numId w:val="20"/>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区域指南或专家共识 ≥ 2 部</w:t>
      </w:r>
    </w:p>
    <w:p w14:paraId="0A58BBE7">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（二）</w:t>
      </w:r>
      <w:r>
        <w:rPr>
          <w:rStyle w:val="134"/>
          <w:rFonts w:hint="eastAsia" w:ascii="宋体" w:hAnsi="宋体" w:eastAsia="宋体" w:cs="宋体"/>
          <w:sz w:val="24"/>
          <w:szCs w:val="24"/>
        </w:rPr>
        <w:t>项目产出</w:t>
      </w:r>
    </w:p>
    <w:p w14:paraId="2C1352C9">
      <w:pPr>
        <w:pStyle w:val="30"/>
        <w:keepNext w:val="0"/>
        <w:keepLines w:val="0"/>
        <w:widowControl/>
        <w:numPr>
          <w:ilvl w:val="0"/>
          <w:numId w:val="21"/>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市级 ≥ 10–15 项</w:t>
      </w:r>
    </w:p>
    <w:p w14:paraId="66232BF9">
      <w:pPr>
        <w:pStyle w:val="30"/>
        <w:keepNext w:val="0"/>
        <w:keepLines w:val="0"/>
        <w:widowControl/>
        <w:numPr>
          <w:ilvl w:val="0"/>
          <w:numId w:val="21"/>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医师协会 ≥ 5–8 项</w:t>
      </w:r>
    </w:p>
    <w:p w14:paraId="7AC2E017">
      <w:pPr>
        <w:pStyle w:val="30"/>
        <w:keepNext w:val="0"/>
        <w:keepLines w:val="0"/>
        <w:widowControl/>
        <w:numPr>
          <w:ilvl w:val="0"/>
          <w:numId w:val="21"/>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社会公益 ≥ 2–3 项</w:t>
      </w:r>
    </w:p>
    <w:p w14:paraId="2ADFA8C9">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（三）</w:t>
      </w:r>
      <w:r>
        <w:rPr>
          <w:rStyle w:val="134"/>
          <w:rFonts w:hint="eastAsia" w:ascii="宋体" w:hAnsi="宋体" w:eastAsia="宋体" w:cs="宋体"/>
          <w:sz w:val="24"/>
          <w:szCs w:val="24"/>
        </w:rPr>
        <w:t>平台建设</w:t>
      </w:r>
    </w:p>
    <w:p w14:paraId="526CD3BF">
      <w:pPr>
        <w:pStyle w:val="30"/>
        <w:keepNext w:val="0"/>
        <w:keepLines w:val="0"/>
        <w:widowControl/>
        <w:numPr>
          <w:ilvl w:val="0"/>
          <w:numId w:val="22"/>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建立 BYN-RWS 区域数据库</w:t>
      </w:r>
    </w:p>
    <w:p w14:paraId="05CB7A9A">
      <w:pPr>
        <w:pStyle w:val="30"/>
        <w:keepNext w:val="0"/>
        <w:keepLines w:val="0"/>
        <w:widowControl/>
        <w:numPr>
          <w:ilvl w:val="0"/>
          <w:numId w:val="22"/>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建立 DIDTS 区域质量控制体系</w:t>
      </w:r>
    </w:p>
    <w:p w14:paraId="04BEB6C8">
      <w:pPr>
        <w:pStyle w:val="30"/>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（四）</w:t>
      </w:r>
      <w:r>
        <w:rPr>
          <w:rStyle w:val="134"/>
          <w:rFonts w:hint="eastAsia" w:ascii="宋体" w:hAnsi="宋体" w:eastAsia="宋体" w:cs="宋体"/>
          <w:sz w:val="24"/>
          <w:szCs w:val="24"/>
        </w:rPr>
        <w:t>人才培养</w:t>
      </w:r>
    </w:p>
    <w:p w14:paraId="2C7BF757">
      <w:pPr>
        <w:pStyle w:val="30"/>
        <w:keepNext w:val="0"/>
        <w:keepLines w:val="0"/>
        <w:widowControl/>
        <w:numPr>
          <w:ilvl w:val="0"/>
          <w:numId w:val="23"/>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博士 ≥ 2 名</w:t>
      </w:r>
    </w:p>
    <w:p w14:paraId="15F7731B">
      <w:pPr>
        <w:pStyle w:val="30"/>
        <w:keepNext w:val="0"/>
        <w:keepLines w:val="0"/>
        <w:widowControl/>
        <w:numPr>
          <w:ilvl w:val="0"/>
          <w:numId w:val="23"/>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硕士 ≥ 12 名</w:t>
      </w:r>
    </w:p>
    <w:p w14:paraId="70C2A849">
      <w:pPr>
        <w:pStyle w:val="30"/>
        <w:keepNext w:val="0"/>
        <w:keepLines w:val="0"/>
        <w:widowControl/>
        <w:numPr>
          <w:ilvl w:val="0"/>
          <w:numId w:val="23"/>
        </w:numPr>
        <w:suppressLineNumbers w:val="0"/>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双能型主治/副主任医师 ≥ 10 名</w:t>
      </w:r>
    </w:p>
    <w:p w14:paraId="56BE75E2">
      <w:pPr>
        <w:pStyle w:val="4"/>
        <w:keepNext w:val="0"/>
        <w:keepLines w:val="0"/>
        <w:widowControl/>
        <w:suppressLineNumbers w:val="0"/>
        <w:ind w:firstLine="482" w:firstLineChars="200"/>
        <w:rPr>
          <w:rFonts w:hint="eastAsia" w:ascii="宋体" w:hAnsi="宋体" w:eastAsia="宋体" w:cs="宋体"/>
          <w:sz w:val="24"/>
          <w:szCs w:val="24"/>
        </w:rPr>
      </w:pPr>
      <w:r>
        <w:rPr>
          <w:rFonts w:hint="eastAsia" w:ascii="宋体" w:hAnsi="宋体" w:eastAsia="宋体" w:cs="宋体"/>
          <w:sz w:val="24"/>
          <w:szCs w:val="24"/>
        </w:rPr>
        <w:t>结语</w:t>
      </w:r>
    </w:p>
    <w:p w14:paraId="6AC4A0BE">
      <w:pPr>
        <w:pStyle w:val="30"/>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本规划以真实病例量与科室技术基础为根基，以IIT与RWE为主线，形成可执行、可评估、可持续的临床研究路径。未来十年，胃肠外科将持续强化临床研究驱动的学科发展模式，以高质量临床证据、原创技术体系和区域示范效应，为推动医院“科研型学科建设”和自治区胃肠道疾病诊疗能力提升做出更大贡献。</w:t>
      </w:r>
    </w:p>
    <w:p w14:paraId="665AB178">
      <w:pPr>
        <w:keepNext w:val="0"/>
        <w:keepLines w:val="0"/>
        <w:widowControl/>
        <w:suppressLineNumbers w:val="0"/>
      </w:pPr>
    </w:p>
    <w:p w14:paraId="705E9ABD">
      <w:pPr>
        <w:pStyle w:val="30"/>
        <w:keepNext w:val="0"/>
        <w:keepLines w:val="0"/>
        <w:widowControl/>
        <w:numPr>
          <w:ilvl w:val="0"/>
          <w:numId w:val="0"/>
        </w:numPr>
        <w:suppressLineNumbers w:val="0"/>
        <w:ind w:leftChars="0" w:right="0" w:rightChars="0"/>
      </w:pPr>
    </w:p>
    <w:sectPr>
      <w:footerReference r:id="rId5" w:type="default"/>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ＭＳ 明朝">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F2171">
    <w:pPr>
      <w:pStyle w:val="2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A593C">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FA593C">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598972"/>
    <w:multiLevelType w:val="singleLevel"/>
    <w:tmpl w:val="8A598972"/>
    <w:lvl w:ilvl="0" w:tentative="0">
      <w:start w:val="1"/>
      <w:numFmt w:val="decimal"/>
      <w:lvlText w:val="%1."/>
      <w:lvlJc w:val="left"/>
      <w:pPr>
        <w:ind w:left="425" w:hanging="425"/>
      </w:pPr>
      <w:rPr>
        <w:rFonts w:hint="default"/>
      </w:rPr>
    </w:lvl>
  </w:abstractNum>
  <w:abstractNum w:abstractNumId="1">
    <w:nsid w:val="9C0B185C"/>
    <w:multiLevelType w:val="singleLevel"/>
    <w:tmpl w:val="9C0B185C"/>
    <w:lvl w:ilvl="0" w:tentative="0">
      <w:start w:val="1"/>
      <w:numFmt w:val="decimal"/>
      <w:lvlText w:val="%1."/>
      <w:lvlJc w:val="left"/>
      <w:pPr>
        <w:ind w:left="425" w:hanging="425"/>
      </w:pPr>
      <w:rPr>
        <w:rFonts w:hint="default"/>
      </w:rPr>
    </w:lvl>
  </w:abstractNum>
  <w:abstractNum w:abstractNumId="2">
    <w:nsid w:val="B6D1063F"/>
    <w:multiLevelType w:val="singleLevel"/>
    <w:tmpl w:val="B6D1063F"/>
    <w:lvl w:ilvl="0" w:tentative="0">
      <w:start w:val="1"/>
      <w:numFmt w:val="decimal"/>
      <w:lvlText w:val="%1."/>
      <w:lvlJc w:val="left"/>
      <w:pPr>
        <w:ind w:left="425" w:hanging="425"/>
      </w:pPr>
      <w:rPr>
        <w:rFonts w:hint="default"/>
      </w:rPr>
    </w:lvl>
  </w:abstractNum>
  <w:abstractNum w:abstractNumId="3">
    <w:nsid w:val="EC8B9C12"/>
    <w:multiLevelType w:val="singleLevel"/>
    <w:tmpl w:val="EC8B9C12"/>
    <w:lvl w:ilvl="0" w:tentative="0">
      <w:start w:val="1"/>
      <w:numFmt w:val="decimal"/>
      <w:lvlText w:val="%1."/>
      <w:lvlJc w:val="left"/>
      <w:pPr>
        <w:ind w:left="425" w:hanging="425"/>
      </w:pPr>
      <w:rPr>
        <w:rFonts w:hint="default"/>
      </w:rPr>
    </w:lvl>
  </w:abstractNum>
  <w:abstractNum w:abstractNumId="4">
    <w:nsid w:val="F14B270D"/>
    <w:multiLevelType w:val="singleLevel"/>
    <w:tmpl w:val="F14B270D"/>
    <w:lvl w:ilvl="0" w:tentative="0">
      <w:start w:val="1"/>
      <w:numFmt w:val="decimal"/>
      <w:lvlText w:val="%1."/>
      <w:lvlJc w:val="left"/>
      <w:pPr>
        <w:ind w:left="425" w:hanging="425"/>
      </w:pPr>
      <w:rPr>
        <w:rFonts w:hint="default"/>
      </w:rPr>
    </w:lvl>
  </w:abstractNum>
  <w:abstractNum w:abstractNumId="5">
    <w:nsid w:val="FC6F8A98"/>
    <w:multiLevelType w:val="singleLevel"/>
    <w:tmpl w:val="FC6F8A98"/>
    <w:lvl w:ilvl="0" w:tentative="0">
      <w:start w:val="1"/>
      <w:numFmt w:val="decimal"/>
      <w:lvlText w:val="%1."/>
      <w:lvlJc w:val="left"/>
      <w:pPr>
        <w:ind w:left="425" w:hanging="425"/>
      </w:pPr>
      <w:rPr>
        <w:rFonts w:hint="default"/>
      </w:rPr>
    </w:lvl>
  </w:abstractNum>
  <w:abstractNum w:abstractNumId="6">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7">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8">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9">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10">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11">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2">
    <w:nsid w:val="2BCF4AC9"/>
    <w:multiLevelType w:val="singleLevel"/>
    <w:tmpl w:val="2BCF4AC9"/>
    <w:lvl w:ilvl="0" w:tentative="0">
      <w:start w:val="1"/>
      <w:numFmt w:val="bullet"/>
      <w:lvlText w:val=""/>
      <w:lvlJc w:val="left"/>
      <w:pPr>
        <w:ind w:left="420" w:hanging="420"/>
      </w:pPr>
      <w:rPr>
        <w:rFonts w:hint="default" w:ascii="Wingdings" w:hAnsi="Wingdings"/>
      </w:rPr>
    </w:lvl>
  </w:abstractNum>
  <w:abstractNum w:abstractNumId="13">
    <w:nsid w:val="30847271"/>
    <w:multiLevelType w:val="singleLevel"/>
    <w:tmpl w:val="30847271"/>
    <w:lvl w:ilvl="0" w:tentative="0">
      <w:start w:val="1"/>
      <w:numFmt w:val="bullet"/>
      <w:lvlText w:val=""/>
      <w:lvlJc w:val="left"/>
      <w:pPr>
        <w:ind w:left="420" w:hanging="420"/>
      </w:pPr>
      <w:rPr>
        <w:rFonts w:hint="default" w:ascii="Wingdings" w:hAnsi="Wingdings"/>
      </w:rPr>
    </w:lvl>
  </w:abstractNum>
  <w:abstractNum w:abstractNumId="14">
    <w:nsid w:val="3AF50A93"/>
    <w:multiLevelType w:val="singleLevel"/>
    <w:tmpl w:val="3AF50A93"/>
    <w:lvl w:ilvl="0" w:tentative="0">
      <w:start w:val="1"/>
      <w:numFmt w:val="decimal"/>
      <w:lvlText w:val="%1."/>
      <w:lvlJc w:val="left"/>
      <w:pPr>
        <w:ind w:left="425" w:hanging="425"/>
      </w:pPr>
      <w:rPr>
        <w:rFonts w:hint="default"/>
      </w:rPr>
    </w:lvl>
  </w:abstractNum>
  <w:abstractNum w:abstractNumId="15">
    <w:nsid w:val="4C281576"/>
    <w:multiLevelType w:val="singleLevel"/>
    <w:tmpl w:val="4C281576"/>
    <w:lvl w:ilvl="0" w:tentative="0">
      <w:start w:val="1"/>
      <w:numFmt w:val="decimal"/>
      <w:lvlText w:val="%1."/>
      <w:lvlJc w:val="left"/>
      <w:pPr>
        <w:ind w:left="425" w:hanging="425"/>
      </w:pPr>
      <w:rPr>
        <w:rFonts w:hint="default"/>
      </w:rPr>
    </w:lvl>
  </w:abstractNum>
  <w:abstractNum w:abstractNumId="16">
    <w:nsid w:val="55193C4A"/>
    <w:multiLevelType w:val="singleLevel"/>
    <w:tmpl w:val="55193C4A"/>
    <w:lvl w:ilvl="0" w:tentative="0">
      <w:start w:val="1"/>
      <w:numFmt w:val="decimal"/>
      <w:lvlText w:val="%1."/>
      <w:lvlJc w:val="left"/>
      <w:pPr>
        <w:ind w:left="425" w:hanging="425"/>
      </w:pPr>
      <w:rPr>
        <w:rFonts w:hint="default"/>
      </w:rPr>
    </w:lvl>
  </w:abstractNum>
  <w:abstractNum w:abstractNumId="17">
    <w:nsid w:val="5B922D83"/>
    <w:multiLevelType w:val="singleLevel"/>
    <w:tmpl w:val="5B922D83"/>
    <w:lvl w:ilvl="0" w:tentative="0">
      <w:start w:val="1"/>
      <w:numFmt w:val="decimal"/>
      <w:lvlText w:val="%1."/>
      <w:lvlJc w:val="left"/>
      <w:pPr>
        <w:ind w:left="425" w:hanging="425"/>
      </w:pPr>
      <w:rPr>
        <w:rFonts w:hint="default"/>
      </w:rPr>
    </w:lvl>
  </w:abstractNum>
  <w:abstractNum w:abstractNumId="18">
    <w:nsid w:val="5BF8647B"/>
    <w:multiLevelType w:val="singleLevel"/>
    <w:tmpl w:val="5BF8647B"/>
    <w:lvl w:ilvl="0" w:tentative="0">
      <w:start w:val="1"/>
      <w:numFmt w:val="chineseCounting"/>
      <w:suff w:val="nothing"/>
      <w:lvlText w:val="（%1）"/>
      <w:lvlJc w:val="left"/>
      <w:rPr>
        <w:rFonts w:hint="eastAsia"/>
      </w:rPr>
    </w:lvl>
  </w:abstractNum>
  <w:abstractNum w:abstractNumId="19">
    <w:nsid w:val="5EEDC748"/>
    <w:multiLevelType w:val="singleLevel"/>
    <w:tmpl w:val="5EEDC748"/>
    <w:lvl w:ilvl="0" w:tentative="0">
      <w:start w:val="1"/>
      <w:numFmt w:val="decimal"/>
      <w:lvlText w:val="%1."/>
      <w:lvlJc w:val="left"/>
      <w:pPr>
        <w:ind w:left="425" w:hanging="425"/>
      </w:pPr>
      <w:rPr>
        <w:rFonts w:hint="default"/>
      </w:rPr>
    </w:lvl>
  </w:abstractNum>
  <w:abstractNum w:abstractNumId="20">
    <w:nsid w:val="6D1129C6"/>
    <w:multiLevelType w:val="singleLevel"/>
    <w:tmpl w:val="6D1129C6"/>
    <w:lvl w:ilvl="0" w:tentative="0">
      <w:start w:val="1"/>
      <w:numFmt w:val="decimal"/>
      <w:lvlText w:val="%1."/>
      <w:lvlJc w:val="left"/>
      <w:pPr>
        <w:ind w:left="425" w:hanging="425"/>
      </w:pPr>
      <w:rPr>
        <w:rFonts w:hint="default"/>
      </w:rPr>
    </w:lvl>
  </w:abstractNum>
  <w:abstractNum w:abstractNumId="21">
    <w:nsid w:val="6EE96903"/>
    <w:multiLevelType w:val="singleLevel"/>
    <w:tmpl w:val="6EE96903"/>
    <w:lvl w:ilvl="0" w:tentative="0">
      <w:start w:val="1"/>
      <w:numFmt w:val="decimal"/>
      <w:lvlText w:val="%1."/>
      <w:lvlJc w:val="left"/>
      <w:pPr>
        <w:ind w:left="425" w:hanging="425"/>
      </w:pPr>
      <w:rPr>
        <w:rFonts w:hint="default"/>
      </w:rPr>
    </w:lvl>
  </w:abstractNum>
  <w:abstractNum w:abstractNumId="22">
    <w:nsid w:val="7EE554DA"/>
    <w:multiLevelType w:val="singleLevel"/>
    <w:tmpl w:val="7EE554DA"/>
    <w:lvl w:ilvl="0" w:tentative="0">
      <w:start w:val="1"/>
      <w:numFmt w:val="bullet"/>
      <w:lvlText w:val=""/>
      <w:lvlJc w:val="left"/>
      <w:pPr>
        <w:ind w:left="420" w:hanging="420"/>
      </w:pPr>
      <w:rPr>
        <w:rFonts w:hint="default" w:ascii="Wingdings" w:hAnsi="Wingdings"/>
      </w:rPr>
    </w:lvl>
  </w:abstractNum>
  <w:num w:numId="1">
    <w:abstractNumId w:val="7"/>
  </w:num>
  <w:num w:numId="2">
    <w:abstractNumId w:val="10"/>
  </w:num>
  <w:num w:numId="3">
    <w:abstractNumId w:val="11"/>
  </w:num>
  <w:num w:numId="4">
    <w:abstractNumId w:val="8"/>
  </w:num>
  <w:num w:numId="5">
    <w:abstractNumId w:val="6"/>
  </w:num>
  <w:num w:numId="6">
    <w:abstractNumId w:val="9"/>
  </w:num>
  <w:num w:numId="7">
    <w:abstractNumId w:val="17"/>
  </w:num>
  <w:num w:numId="8">
    <w:abstractNumId w:val="3"/>
  </w:num>
  <w:num w:numId="9">
    <w:abstractNumId w:val="12"/>
  </w:num>
  <w:num w:numId="10">
    <w:abstractNumId w:val="18"/>
  </w:num>
  <w:num w:numId="11">
    <w:abstractNumId w:val="13"/>
  </w:num>
  <w:num w:numId="12">
    <w:abstractNumId w:val="15"/>
  </w:num>
  <w:num w:numId="13">
    <w:abstractNumId w:val="22"/>
  </w:num>
  <w:num w:numId="14">
    <w:abstractNumId w:val="21"/>
  </w:num>
  <w:num w:numId="15">
    <w:abstractNumId w:val="14"/>
  </w:num>
  <w:num w:numId="16">
    <w:abstractNumId w:val="5"/>
  </w:num>
  <w:num w:numId="17">
    <w:abstractNumId w:val="1"/>
  </w:num>
  <w:num w:numId="18">
    <w:abstractNumId w:val="16"/>
  </w:num>
  <w:num w:numId="19">
    <w:abstractNumId w:val="20"/>
  </w:num>
  <w:num w:numId="20">
    <w:abstractNumId w:val="2"/>
  </w:num>
  <w:num w:numId="21">
    <w:abstractNumId w:val="19"/>
  </w:num>
  <w:num w:numId="22">
    <w:abstractNumId w:val="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C4D130F6-2420-43D2-B32E-E64E4F4C95CB}"/>
    <w:docVar w:name="KY_MEDREF_VERSION" w:val="3"/>
  </w:docVars>
  <w:rsids>
    <w:rsidRoot w:val="00B47730"/>
    <w:rsid w:val="00034616"/>
    <w:rsid w:val="0006063C"/>
    <w:rsid w:val="0015074B"/>
    <w:rsid w:val="0029639D"/>
    <w:rsid w:val="00326F90"/>
    <w:rsid w:val="00AA1D8D"/>
    <w:rsid w:val="00B47730"/>
    <w:rsid w:val="00CB0664"/>
    <w:rsid w:val="00FC693F"/>
    <w:rsid w:val="046F77B1"/>
    <w:rsid w:val="0F470D9F"/>
    <w:rsid w:val="105B7B75"/>
    <w:rsid w:val="107241C3"/>
    <w:rsid w:val="15381B54"/>
    <w:rsid w:val="17812DB5"/>
    <w:rsid w:val="21AE5355"/>
    <w:rsid w:val="3C2E0626"/>
    <w:rsid w:val="3C4D356B"/>
    <w:rsid w:val="3C4D3DFC"/>
    <w:rsid w:val="5CFB7A99"/>
    <w:rsid w:val="66644AC0"/>
    <w:rsid w:val="679B558A"/>
    <w:rsid w:val="794C7D62"/>
    <w:rsid w:val="7DAD31F4"/>
    <w:rsid w:val="7F854B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uiPriority w:val="99"/>
  </w:style>
  <w:style w:type="character" w:customStyle="1" w:styleId="146">
    <w:name w:val="Body Text 2 Char"/>
    <w:basedOn w:val="133"/>
    <w:link w:val="28"/>
    <w:uiPriority w:val="99"/>
  </w:style>
  <w:style w:type="character" w:customStyle="1" w:styleId="147">
    <w:name w:val="Body Text 3 Char"/>
    <w:basedOn w:val="133"/>
    <w:link w:val="17"/>
    <w:uiPriority w:val="99"/>
    <w:rPr>
      <w:sz w:val="16"/>
      <w:szCs w:val="16"/>
    </w:rPr>
  </w:style>
  <w:style w:type="character" w:customStyle="1" w:styleId="148">
    <w:name w:val="Macro Text Char"/>
    <w:basedOn w:val="133"/>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2378</Words>
  <Characters>2867</Characters>
  <Lines>0</Lines>
  <Paragraphs>0</Paragraphs>
  <TotalTime>8</TotalTime>
  <ScaleCrop>false</ScaleCrop>
  <LinksUpToDate>false</LinksUpToDate>
  <CharactersWithSpaces>3011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王腾祺</cp:lastModifiedBy>
  <dcterms:modified xsi:type="dcterms:W3CDTF">2025-11-18T03:20:03Z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eyJoZGlkIjoiZTczYWFkOThlMjE5ZWRmZmFmNDdiOTQxNWJkZDk3YTgiLCJ1c2VySWQiOiIxNDgwMTQyMTM0In0=</vt:lpwstr>
  </property>
  <property fmtid="{D5CDD505-2E9C-101B-9397-08002B2CF9AE}" pid="3" name="KSOProductBuildVer">
    <vt:lpwstr>2052-12.1.0.23542</vt:lpwstr>
  </property>
  <property fmtid="{D5CDD505-2E9C-101B-9397-08002B2CF9AE}" pid="4" name="ICV">
    <vt:lpwstr>C539FD4CF98C41089CE218E0E4E8A94D_13</vt:lpwstr>
  </property>
</Properties>
</file>