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E95199">
      <w:pPr>
        <w:pStyle w:val="2"/>
        <w:bidi w:val="0"/>
        <w:jc w:val="center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胃肠外科 SRWS十年落实规划（2025–2035）</w:t>
      </w:r>
    </w:p>
    <w:p w14:paraId="557864DA">
      <w:pPr>
        <w:pStyle w:val="7"/>
        <w:keepNext w:val="0"/>
        <w:keepLines w:val="0"/>
        <w:widowControl/>
        <w:suppressLineNumbers w:val="0"/>
      </w:pPr>
      <w:r>
        <w:rPr>
          <w:rFonts w:hint="eastAsia"/>
          <w:lang w:eastAsia="zh-CN"/>
        </w:rPr>
        <w:t>　　</w:t>
      </w:r>
      <w:r>
        <w:t>以方法学名词体系为主线，每两年一个阶段，强调“先认知、后执行、再固化”，逐步实现胃肠外科科研常态化、流程化、标准化。</w:t>
      </w:r>
    </w:p>
    <w:p w14:paraId="703B1BD5">
      <w:pPr>
        <w:pStyle w:val="7"/>
        <w:keepNext w:val="0"/>
        <w:keepLines w:val="0"/>
        <w:widowControl/>
        <w:suppressLineNumbers w:val="0"/>
      </w:pPr>
      <w:r>
        <w:rPr>
          <w:rFonts w:hint="eastAsia"/>
          <w:lang w:eastAsia="zh-CN"/>
        </w:rPr>
        <w:t>　　</w:t>
      </w:r>
      <w:r>
        <w:t>内容适合直接纳入科室科研规划或十年发展规划中。</w:t>
      </w:r>
    </w:p>
    <w:p w14:paraId="19EE06E0">
      <w:pPr>
        <w:pStyle w:val="2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sz w:val="24"/>
          <w:szCs w:val="24"/>
        </w:rPr>
        <w:t>第一部分 SRWS 落地的“方法学名词术语表”</w:t>
      </w:r>
      <w:bookmarkStart w:id="0" w:name="_GoBack"/>
      <w:bookmarkEnd w:id="0"/>
    </w:p>
    <w:p w14:paraId="5320FCEB">
      <w:pPr>
        <w:pStyle w:val="3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sz w:val="24"/>
          <w:szCs w:val="24"/>
        </w:rPr>
        <w:t>表1 SRWS体系核心方法学术语与功能定位</w:t>
      </w:r>
    </w:p>
    <w:tbl>
      <w:tblPr>
        <w:tblW w:w="8523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96"/>
        <w:gridCol w:w="2927"/>
        <w:gridCol w:w="1644"/>
        <w:gridCol w:w="3256"/>
      </w:tblGrid>
      <w:tr w14:paraId="560B0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651" w:type="dxa"/>
            <w:shd w:val="clear"/>
            <w:vAlign w:val="center"/>
          </w:tcPr>
          <w:p w14:paraId="09B96E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2897" w:type="dxa"/>
            <w:shd w:val="clear"/>
            <w:vAlign w:val="center"/>
          </w:tcPr>
          <w:p w14:paraId="30CCD2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方法学名词术语</w:t>
            </w:r>
          </w:p>
        </w:tc>
        <w:tc>
          <w:tcPr>
            <w:tcW w:w="1614" w:type="dxa"/>
            <w:shd w:val="clear"/>
            <w:vAlign w:val="center"/>
          </w:tcPr>
          <w:p w14:paraId="5A6C48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类型</w:t>
            </w:r>
          </w:p>
        </w:tc>
        <w:tc>
          <w:tcPr>
            <w:tcW w:w="3211" w:type="dxa"/>
            <w:shd w:val="clear"/>
            <w:vAlign w:val="center"/>
          </w:tcPr>
          <w:p w14:paraId="21A39C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功能定位（在SRWS中承担的作用）</w:t>
            </w:r>
          </w:p>
        </w:tc>
      </w:tr>
      <w:tr w14:paraId="2D37F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651" w:type="dxa"/>
            <w:shd w:val="clear"/>
            <w:vAlign w:val="center"/>
          </w:tcPr>
          <w:p w14:paraId="4C1DCF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897" w:type="dxa"/>
            <w:shd w:val="clear"/>
            <w:vAlign w:val="center"/>
          </w:tcPr>
          <w:p w14:paraId="670EFF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Style w:val="10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PICOS框架</w:t>
            </w:r>
          </w:p>
        </w:tc>
        <w:tc>
          <w:tcPr>
            <w:tcW w:w="1614" w:type="dxa"/>
            <w:shd w:val="clear"/>
            <w:vAlign w:val="center"/>
          </w:tcPr>
          <w:p w14:paraId="6DF056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研究设计</w:t>
            </w:r>
          </w:p>
        </w:tc>
        <w:tc>
          <w:tcPr>
            <w:tcW w:w="3211" w:type="dxa"/>
            <w:shd w:val="clear"/>
            <w:vAlign w:val="center"/>
          </w:tcPr>
          <w:p w14:paraId="283FF2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临床问题结构化生成，所有课题起点</w:t>
            </w:r>
          </w:p>
        </w:tc>
      </w:tr>
      <w:tr w14:paraId="67BB2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651" w:type="dxa"/>
            <w:shd w:val="clear"/>
            <w:vAlign w:val="center"/>
          </w:tcPr>
          <w:p w14:paraId="29AC40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897" w:type="dxa"/>
            <w:shd w:val="clear"/>
            <w:vAlign w:val="center"/>
          </w:tcPr>
          <w:p w14:paraId="1495E4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Style w:val="10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CARE 信息清单</w:t>
            </w:r>
          </w:p>
        </w:tc>
        <w:tc>
          <w:tcPr>
            <w:tcW w:w="1614" w:type="dxa"/>
            <w:shd w:val="clear"/>
            <w:vAlign w:val="center"/>
          </w:tcPr>
          <w:p w14:paraId="411A74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病例报告规范</w:t>
            </w:r>
          </w:p>
        </w:tc>
        <w:tc>
          <w:tcPr>
            <w:tcW w:w="3211" w:type="dxa"/>
            <w:shd w:val="clear"/>
            <w:vAlign w:val="center"/>
          </w:tcPr>
          <w:p w14:paraId="17E642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规范病例报告与病例系列，提高写作质量</w:t>
            </w:r>
          </w:p>
        </w:tc>
      </w:tr>
      <w:tr w14:paraId="6D225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651" w:type="dxa"/>
            <w:shd w:val="clear"/>
            <w:vAlign w:val="center"/>
          </w:tcPr>
          <w:p w14:paraId="436B84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2897" w:type="dxa"/>
            <w:shd w:val="clear"/>
            <w:vAlign w:val="center"/>
          </w:tcPr>
          <w:p w14:paraId="79497A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Style w:val="10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STROBE 声明</w:t>
            </w:r>
          </w:p>
        </w:tc>
        <w:tc>
          <w:tcPr>
            <w:tcW w:w="1614" w:type="dxa"/>
            <w:shd w:val="clear"/>
            <w:vAlign w:val="center"/>
          </w:tcPr>
          <w:p w14:paraId="679476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观察性研究规范</w:t>
            </w:r>
          </w:p>
        </w:tc>
        <w:tc>
          <w:tcPr>
            <w:tcW w:w="3211" w:type="dxa"/>
            <w:shd w:val="clear"/>
            <w:vAlign w:val="center"/>
          </w:tcPr>
          <w:p w14:paraId="7BAD8D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横断面、队列、病例对照研究的撰写标准</w:t>
            </w:r>
          </w:p>
        </w:tc>
      </w:tr>
      <w:tr w14:paraId="34EA1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651" w:type="dxa"/>
            <w:shd w:val="clear"/>
            <w:vAlign w:val="center"/>
          </w:tcPr>
          <w:p w14:paraId="29D2CF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897" w:type="dxa"/>
            <w:shd w:val="clear"/>
            <w:vAlign w:val="center"/>
          </w:tcPr>
          <w:p w14:paraId="34595F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Style w:val="10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STROCSS 指南</w:t>
            </w:r>
          </w:p>
        </w:tc>
        <w:tc>
          <w:tcPr>
            <w:tcW w:w="1614" w:type="dxa"/>
            <w:shd w:val="clear"/>
            <w:vAlign w:val="center"/>
          </w:tcPr>
          <w:p w14:paraId="1B179F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外科观察性研究规范</w:t>
            </w:r>
          </w:p>
        </w:tc>
        <w:tc>
          <w:tcPr>
            <w:tcW w:w="3211" w:type="dxa"/>
            <w:shd w:val="clear"/>
            <w:vAlign w:val="center"/>
          </w:tcPr>
          <w:p w14:paraId="1F2C72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外科学专用版本，提高外科论文质量</w:t>
            </w:r>
          </w:p>
        </w:tc>
      </w:tr>
      <w:tr w14:paraId="479A7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651" w:type="dxa"/>
            <w:shd w:val="clear"/>
            <w:vAlign w:val="center"/>
          </w:tcPr>
          <w:p w14:paraId="173D4E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897" w:type="dxa"/>
            <w:shd w:val="clear"/>
            <w:vAlign w:val="center"/>
          </w:tcPr>
          <w:p w14:paraId="7A1BD8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Style w:val="10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CONSORT 声明</w:t>
            </w:r>
          </w:p>
        </w:tc>
        <w:tc>
          <w:tcPr>
            <w:tcW w:w="1614" w:type="dxa"/>
            <w:shd w:val="clear"/>
            <w:vAlign w:val="center"/>
          </w:tcPr>
          <w:p w14:paraId="1E92E4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RCT 规范</w:t>
            </w:r>
          </w:p>
        </w:tc>
        <w:tc>
          <w:tcPr>
            <w:tcW w:w="3211" w:type="dxa"/>
            <w:shd w:val="clear"/>
            <w:vAlign w:val="center"/>
          </w:tcPr>
          <w:p w14:paraId="14CA05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未来高质量试验必须遵循</w:t>
            </w:r>
          </w:p>
        </w:tc>
      </w:tr>
      <w:tr w14:paraId="19140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651" w:type="dxa"/>
            <w:shd w:val="clear"/>
            <w:vAlign w:val="center"/>
          </w:tcPr>
          <w:p w14:paraId="5966F9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2897" w:type="dxa"/>
            <w:shd w:val="clear"/>
            <w:vAlign w:val="center"/>
          </w:tcPr>
          <w:p w14:paraId="2C50E3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Style w:val="10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PRISMA 流程图</w:t>
            </w:r>
          </w:p>
        </w:tc>
        <w:tc>
          <w:tcPr>
            <w:tcW w:w="1614" w:type="dxa"/>
            <w:shd w:val="clear"/>
            <w:vAlign w:val="center"/>
          </w:tcPr>
          <w:p w14:paraId="216C22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系统综述规范</w:t>
            </w:r>
          </w:p>
        </w:tc>
        <w:tc>
          <w:tcPr>
            <w:tcW w:w="3211" w:type="dxa"/>
            <w:shd w:val="clear"/>
            <w:vAlign w:val="center"/>
          </w:tcPr>
          <w:p w14:paraId="6CDE62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综述、Meta 分析必备，提高研究生论文质量</w:t>
            </w:r>
          </w:p>
        </w:tc>
      </w:tr>
      <w:tr w14:paraId="32D30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651" w:type="dxa"/>
            <w:shd w:val="clear"/>
            <w:vAlign w:val="center"/>
          </w:tcPr>
          <w:p w14:paraId="5BFDAF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2897" w:type="dxa"/>
            <w:shd w:val="clear"/>
            <w:vAlign w:val="center"/>
          </w:tcPr>
          <w:p w14:paraId="6A8FFE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Style w:val="10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PRISMA-S</w:t>
            </w:r>
          </w:p>
        </w:tc>
        <w:tc>
          <w:tcPr>
            <w:tcW w:w="1614" w:type="dxa"/>
            <w:shd w:val="clear"/>
            <w:vAlign w:val="center"/>
          </w:tcPr>
          <w:p w14:paraId="3BA15C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检索策略规范</w:t>
            </w:r>
          </w:p>
        </w:tc>
        <w:tc>
          <w:tcPr>
            <w:tcW w:w="3211" w:type="dxa"/>
            <w:shd w:val="clear"/>
            <w:vAlign w:val="center"/>
          </w:tcPr>
          <w:p w14:paraId="25D448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用于检索规划制定、审稿、基金申报</w:t>
            </w:r>
          </w:p>
        </w:tc>
      </w:tr>
      <w:tr w14:paraId="255ED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651" w:type="dxa"/>
            <w:shd w:val="clear"/>
            <w:vAlign w:val="center"/>
          </w:tcPr>
          <w:p w14:paraId="7BCD44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2897" w:type="dxa"/>
            <w:shd w:val="clear"/>
            <w:vAlign w:val="center"/>
          </w:tcPr>
          <w:p w14:paraId="4577C9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Style w:val="10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Protocol 模板（研究方案模板）</w:t>
            </w:r>
          </w:p>
        </w:tc>
        <w:tc>
          <w:tcPr>
            <w:tcW w:w="1614" w:type="dxa"/>
            <w:shd w:val="clear"/>
            <w:vAlign w:val="center"/>
          </w:tcPr>
          <w:p w14:paraId="600F25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项目管理</w:t>
            </w:r>
          </w:p>
        </w:tc>
        <w:tc>
          <w:tcPr>
            <w:tcW w:w="3211" w:type="dxa"/>
            <w:shd w:val="clear"/>
            <w:vAlign w:val="center"/>
          </w:tcPr>
          <w:p w14:paraId="5C2BB0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所有科研课题的“施工图”，未来与 SRWS 强绑定</w:t>
            </w:r>
          </w:p>
        </w:tc>
      </w:tr>
      <w:tr w14:paraId="2650C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651" w:type="dxa"/>
            <w:shd w:val="clear"/>
            <w:vAlign w:val="center"/>
          </w:tcPr>
          <w:p w14:paraId="2CF6B2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2897" w:type="dxa"/>
            <w:shd w:val="clear"/>
            <w:vAlign w:val="center"/>
          </w:tcPr>
          <w:p w14:paraId="7776F5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Style w:val="10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CRF 表（病例报告表）</w:t>
            </w:r>
          </w:p>
        </w:tc>
        <w:tc>
          <w:tcPr>
            <w:tcW w:w="1614" w:type="dxa"/>
            <w:shd w:val="clear"/>
            <w:vAlign w:val="center"/>
          </w:tcPr>
          <w:p w14:paraId="6BB44A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数据采集</w:t>
            </w:r>
          </w:p>
        </w:tc>
        <w:tc>
          <w:tcPr>
            <w:tcW w:w="3211" w:type="dxa"/>
            <w:shd w:val="clear"/>
            <w:vAlign w:val="center"/>
          </w:tcPr>
          <w:p w14:paraId="1E1717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数据标准化、随访体系核心工具</w:t>
            </w:r>
          </w:p>
        </w:tc>
      </w:tr>
      <w:tr w14:paraId="6EFCA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651" w:type="dxa"/>
            <w:shd w:val="clear"/>
            <w:vAlign w:val="center"/>
          </w:tcPr>
          <w:p w14:paraId="351D39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2897" w:type="dxa"/>
            <w:shd w:val="clear"/>
            <w:vAlign w:val="center"/>
          </w:tcPr>
          <w:p w14:paraId="1068C9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Style w:val="10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数据字典（Data Dictionary）</w:t>
            </w:r>
          </w:p>
        </w:tc>
        <w:tc>
          <w:tcPr>
            <w:tcW w:w="1614" w:type="dxa"/>
            <w:shd w:val="clear"/>
            <w:vAlign w:val="center"/>
          </w:tcPr>
          <w:p w14:paraId="26C0B5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数据治理</w:t>
            </w:r>
          </w:p>
        </w:tc>
        <w:tc>
          <w:tcPr>
            <w:tcW w:w="3211" w:type="dxa"/>
            <w:shd w:val="clear"/>
            <w:vAlign w:val="center"/>
          </w:tcPr>
          <w:p w14:paraId="26D362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变量标准化，为审计与RWS做准备</w:t>
            </w:r>
          </w:p>
        </w:tc>
      </w:tr>
      <w:tr w14:paraId="4926A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651" w:type="dxa"/>
            <w:shd w:val="clear"/>
            <w:vAlign w:val="center"/>
          </w:tcPr>
          <w:p w14:paraId="5E3D20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2897" w:type="dxa"/>
            <w:shd w:val="clear"/>
            <w:vAlign w:val="center"/>
          </w:tcPr>
          <w:p w14:paraId="0E1E4C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Style w:val="10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Delphi 法</w:t>
            </w:r>
          </w:p>
        </w:tc>
        <w:tc>
          <w:tcPr>
            <w:tcW w:w="1614" w:type="dxa"/>
            <w:shd w:val="clear"/>
            <w:vAlign w:val="center"/>
          </w:tcPr>
          <w:p w14:paraId="3D9829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专家共识、流程制定</w:t>
            </w:r>
          </w:p>
        </w:tc>
        <w:tc>
          <w:tcPr>
            <w:tcW w:w="3211" w:type="dxa"/>
            <w:shd w:val="clear"/>
            <w:vAlign w:val="center"/>
          </w:tcPr>
          <w:p w14:paraId="5F97B4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SPC-ERAS、PRI、DIDTS 路径制定必用</w:t>
            </w:r>
          </w:p>
        </w:tc>
      </w:tr>
      <w:tr w14:paraId="5E0D6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651" w:type="dxa"/>
            <w:shd w:val="clear"/>
            <w:vAlign w:val="center"/>
          </w:tcPr>
          <w:p w14:paraId="1CFDE6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2897" w:type="dxa"/>
            <w:shd w:val="clear"/>
            <w:vAlign w:val="center"/>
          </w:tcPr>
          <w:p w14:paraId="0FFB50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Style w:val="10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Manuscript Skeleton 模板</w:t>
            </w:r>
          </w:p>
        </w:tc>
        <w:tc>
          <w:tcPr>
            <w:tcW w:w="1614" w:type="dxa"/>
            <w:shd w:val="clear"/>
            <w:vAlign w:val="center"/>
          </w:tcPr>
          <w:p w14:paraId="20AFE1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论文写作框架</w:t>
            </w:r>
          </w:p>
        </w:tc>
        <w:tc>
          <w:tcPr>
            <w:tcW w:w="3211" w:type="dxa"/>
            <w:shd w:val="clear"/>
            <w:vAlign w:val="center"/>
          </w:tcPr>
          <w:p w14:paraId="0E36B4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降低青年医生写作难度，提升论文稳定产出</w:t>
            </w:r>
          </w:p>
        </w:tc>
      </w:tr>
      <w:tr w14:paraId="6035E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651" w:type="dxa"/>
            <w:shd w:val="clear"/>
            <w:vAlign w:val="center"/>
          </w:tcPr>
          <w:p w14:paraId="66CEDC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2897" w:type="dxa"/>
            <w:shd w:val="clear"/>
            <w:vAlign w:val="center"/>
          </w:tcPr>
          <w:p w14:paraId="229E58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Style w:val="10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Early-stage IP Mapping</w:t>
            </w:r>
          </w:p>
        </w:tc>
        <w:tc>
          <w:tcPr>
            <w:tcW w:w="1614" w:type="dxa"/>
            <w:shd w:val="clear"/>
            <w:vAlign w:val="center"/>
          </w:tcPr>
          <w:p w14:paraId="489596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专利布局</w:t>
            </w:r>
          </w:p>
        </w:tc>
        <w:tc>
          <w:tcPr>
            <w:tcW w:w="3211" w:type="dxa"/>
            <w:shd w:val="clear"/>
            <w:vAlign w:val="center"/>
          </w:tcPr>
          <w:p w14:paraId="6597B7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医工融合方向必须掌握的早期专利策略</w:t>
            </w:r>
          </w:p>
        </w:tc>
      </w:tr>
      <w:tr w14:paraId="7F3C0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651" w:type="dxa"/>
            <w:shd w:val="clear"/>
            <w:vAlign w:val="center"/>
          </w:tcPr>
          <w:p w14:paraId="7D9719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2897" w:type="dxa"/>
            <w:shd w:val="clear"/>
            <w:vAlign w:val="center"/>
          </w:tcPr>
          <w:p w14:paraId="3FCDE7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Style w:val="10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KPI System（科研KPI体系）</w:t>
            </w:r>
          </w:p>
        </w:tc>
        <w:tc>
          <w:tcPr>
            <w:tcW w:w="1614" w:type="dxa"/>
            <w:shd w:val="clear"/>
            <w:vAlign w:val="center"/>
          </w:tcPr>
          <w:p w14:paraId="0FC25A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科研管理</w:t>
            </w:r>
          </w:p>
        </w:tc>
        <w:tc>
          <w:tcPr>
            <w:tcW w:w="3211" w:type="dxa"/>
            <w:shd w:val="clear"/>
            <w:vAlign w:val="center"/>
          </w:tcPr>
          <w:p w14:paraId="257F3C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量化科研进展、产出与团队能力成长</w:t>
            </w:r>
          </w:p>
        </w:tc>
      </w:tr>
      <w:tr w14:paraId="1E91F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651" w:type="dxa"/>
            <w:shd w:val="clear"/>
            <w:vAlign w:val="center"/>
          </w:tcPr>
          <w:p w14:paraId="74F9C2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2897" w:type="dxa"/>
            <w:shd w:val="clear"/>
            <w:vAlign w:val="center"/>
          </w:tcPr>
          <w:p w14:paraId="65F5D5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Style w:val="10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GCP 基础规范</w:t>
            </w:r>
          </w:p>
        </w:tc>
        <w:tc>
          <w:tcPr>
            <w:tcW w:w="1614" w:type="dxa"/>
            <w:shd w:val="clear"/>
            <w:vAlign w:val="center"/>
          </w:tcPr>
          <w:p w14:paraId="31680E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临床试验管理</w:t>
            </w:r>
          </w:p>
        </w:tc>
        <w:tc>
          <w:tcPr>
            <w:tcW w:w="3211" w:type="dxa"/>
            <w:shd w:val="clear"/>
            <w:vAlign w:val="center"/>
          </w:tcPr>
          <w:p w14:paraId="484FE5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科室逐步开展前瞻性研究的基础能力</w:t>
            </w:r>
          </w:p>
        </w:tc>
      </w:tr>
      <w:tr w14:paraId="097A0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651" w:type="dxa"/>
            <w:shd w:val="clear"/>
            <w:vAlign w:val="center"/>
          </w:tcPr>
          <w:p w14:paraId="74210F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2897" w:type="dxa"/>
            <w:shd w:val="clear"/>
            <w:vAlign w:val="center"/>
          </w:tcPr>
          <w:p w14:paraId="33E32C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Style w:val="10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RWS / RWE 方法学</w:t>
            </w:r>
          </w:p>
        </w:tc>
        <w:tc>
          <w:tcPr>
            <w:tcW w:w="1614" w:type="dxa"/>
            <w:shd w:val="clear"/>
            <w:vAlign w:val="center"/>
          </w:tcPr>
          <w:p w14:paraId="3257D5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真实世界研究技术</w:t>
            </w:r>
          </w:p>
        </w:tc>
        <w:tc>
          <w:tcPr>
            <w:tcW w:w="3211" w:type="dxa"/>
            <w:shd w:val="clear"/>
            <w:vAlign w:val="center"/>
          </w:tcPr>
          <w:p w14:paraId="55AD89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DIDTS 与多镜技术真实世界队列构建核心</w:t>
            </w:r>
          </w:p>
        </w:tc>
      </w:tr>
      <w:tr w14:paraId="7BA61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651" w:type="dxa"/>
            <w:shd w:val="clear"/>
            <w:vAlign w:val="center"/>
          </w:tcPr>
          <w:p w14:paraId="43AE84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2897" w:type="dxa"/>
            <w:shd w:val="clear"/>
            <w:vAlign w:val="center"/>
          </w:tcPr>
          <w:p w14:paraId="0470F7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Style w:val="10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LLM-assisted Literature Framework</w:t>
            </w:r>
          </w:p>
        </w:tc>
        <w:tc>
          <w:tcPr>
            <w:tcW w:w="1614" w:type="dxa"/>
            <w:shd w:val="clear"/>
            <w:vAlign w:val="center"/>
          </w:tcPr>
          <w:p w14:paraId="30AC2C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文献管理</w:t>
            </w:r>
          </w:p>
        </w:tc>
        <w:tc>
          <w:tcPr>
            <w:tcW w:w="3211" w:type="dxa"/>
            <w:shd w:val="clear"/>
            <w:vAlign w:val="center"/>
          </w:tcPr>
          <w:p w14:paraId="2D5A74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ChatGPT使用规范、检索-归档-写作流程</w:t>
            </w:r>
          </w:p>
        </w:tc>
      </w:tr>
      <w:tr w14:paraId="48107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651" w:type="dxa"/>
            <w:shd w:val="clear"/>
            <w:vAlign w:val="center"/>
          </w:tcPr>
          <w:p w14:paraId="647888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2897" w:type="dxa"/>
            <w:shd w:val="clear"/>
            <w:vAlign w:val="center"/>
          </w:tcPr>
          <w:p w14:paraId="4FBE84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Style w:val="10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Clinical Registry Framework</w:t>
            </w:r>
          </w:p>
        </w:tc>
        <w:tc>
          <w:tcPr>
            <w:tcW w:w="1614" w:type="dxa"/>
            <w:shd w:val="clear"/>
            <w:vAlign w:val="center"/>
          </w:tcPr>
          <w:p w14:paraId="1EAB77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登记研究规范</w:t>
            </w:r>
          </w:p>
        </w:tc>
        <w:tc>
          <w:tcPr>
            <w:tcW w:w="3211" w:type="dxa"/>
            <w:shd w:val="clear"/>
            <w:vAlign w:val="center"/>
          </w:tcPr>
          <w:p w14:paraId="0D0E7F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适用于TEM、CETC、CSPO 等小样本技术</w:t>
            </w:r>
          </w:p>
        </w:tc>
      </w:tr>
      <w:tr w14:paraId="721BF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651" w:type="dxa"/>
            <w:shd w:val="clear"/>
            <w:vAlign w:val="center"/>
          </w:tcPr>
          <w:p w14:paraId="7505B7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2897" w:type="dxa"/>
            <w:shd w:val="clear"/>
            <w:vAlign w:val="center"/>
          </w:tcPr>
          <w:p w14:paraId="73F9D9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Style w:val="10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SPSS/R 数据分析流程模板</w:t>
            </w:r>
          </w:p>
        </w:tc>
        <w:tc>
          <w:tcPr>
            <w:tcW w:w="1614" w:type="dxa"/>
            <w:shd w:val="clear"/>
            <w:vAlign w:val="center"/>
          </w:tcPr>
          <w:p w14:paraId="214299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统计学执行规范</w:t>
            </w:r>
          </w:p>
        </w:tc>
        <w:tc>
          <w:tcPr>
            <w:tcW w:w="3211" w:type="dxa"/>
            <w:shd w:val="clear"/>
            <w:vAlign w:val="center"/>
          </w:tcPr>
          <w:p w14:paraId="6C0368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队列、预测模型、回归分析通用工具</w:t>
            </w:r>
          </w:p>
        </w:tc>
      </w:tr>
      <w:tr w14:paraId="452B2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651" w:type="dxa"/>
            <w:shd w:val="clear"/>
            <w:vAlign w:val="center"/>
          </w:tcPr>
          <w:p w14:paraId="594AEA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2897" w:type="dxa"/>
            <w:shd w:val="clear"/>
            <w:vAlign w:val="center"/>
          </w:tcPr>
          <w:p w14:paraId="675BBF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Style w:val="10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Prediction Model TRIPOD</w:t>
            </w:r>
          </w:p>
        </w:tc>
        <w:tc>
          <w:tcPr>
            <w:tcW w:w="1614" w:type="dxa"/>
            <w:shd w:val="clear"/>
            <w:vAlign w:val="center"/>
          </w:tcPr>
          <w:p w14:paraId="1A2321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预测模型规范</w:t>
            </w:r>
          </w:p>
        </w:tc>
        <w:tc>
          <w:tcPr>
            <w:tcW w:w="3211" w:type="dxa"/>
            <w:shd w:val="clear"/>
            <w:vAlign w:val="center"/>
          </w:tcPr>
          <w:p w14:paraId="36C83A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PRI、PoRA-6 等预测体系必用</w:t>
            </w:r>
          </w:p>
        </w:tc>
      </w:tr>
      <w:tr w14:paraId="624DB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651" w:type="dxa"/>
            <w:shd w:val="clear"/>
            <w:vAlign w:val="center"/>
          </w:tcPr>
          <w:p w14:paraId="3BB638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2897" w:type="dxa"/>
            <w:shd w:val="clear"/>
            <w:vAlign w:val="center"/>
          </w:tcPr>
          <w:p w14:paraId="661A00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Style w:val="10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Ethics &amp; IRB 模板</w:t>
            </w:r>
          </w:p>
        </w:tc>
        <w:tc>
          <w:tcPr>
            <w:tcW w:w="1614" w:type="dxa"/>
            <w:shd w:val="clear"/>
            <w:vAlign w:val="center"/>
          </w:tcPr>
          <w:p w14:paraId="5CCABB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伦理管理</w:t>
            </w:r>
          </w:p>
        </w:tc>
        <w:tc>
          <w:tcPr>
            <w:tcW w:w="3211" w:type="dxa"/>
            <w:shd w:val="clear"/>
            <w:vAlign w:val="center"/>
          </w:tcPr>
          <w:p w14:paraId="72A519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保证所有项目符合 ICH-GCP 与自治区伦理要求</w:t>
            </w:r>
          </w:p>
        </w:tc>
      </w:tr>
    </w:tbl>
    <w:p w14:paraId="1A432467">
      <w:pPr>
        <w:pStyle w:val="2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sz w:val="24"/>
          <w:szCs w:val="24"/>
        </w:rPr>
        <w:t>第二部分 十年（5阶段）SRWS 落实规划（2025–2035）</w:t>
      </w:r>
    </w:p>
    <w:p w14:paraId="4EC54889">
      <w:pPr>
        <w:pStyle w:val="7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rStyle w:val="10"/>
          <w:sz w:val="24"/>
          <w:szCs w:val="24"/>
        </w:rPr>
        <w:t>核心逻辑：</w:t>
      </w:r>
      <w:r>
        <w:rPr>
          <w:rStyle w:val="10"/>
          <w:sz w:val="24"/>
          <w:szCs w:val="24"/>
        </w:rPr>
        <w:br w:type="textWrapping"/>
      </w:r>
      <w:r>
        <w:rPr>
          <w:rStyle w:val="10"/>
          <w:sz w:val="24"/>
          <w:szCs w:val="24"/>
        </w:rPr>
        <w:t>以方法学为主线 → 以课题为载体 → 以阶段为节奏 → 以团队能力为目标。</w:t>
      </w:r>
    </w:p>
    <w:p w14:paraId="612CB7E9">
      <w:pPr>
        <w:pStyle w:val="7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sz w:val="24"/>
          <w:szCs w:val="24"/>
        </w:rPr>
        <w:t>每一阶段都有：学习任务、实践任务、制度化任务。</w:t>
      </w:r>
    </w:p>
    <w:p w14:paraId="1FADC933">
      <w:pPr>
        <w:pStyle w:val="2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sz w:val="24"/>
          <w:szCs w:val="24"/>
        </w:rPr>
        <w:t>阶段一（2025–2026）</w:t>
      </w:r>
    </w:p>
    <w:p w14:paraId="1E8A0837">
      <w:pPr>
        <w:pStyle w:val="3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sz w:val="24"/>
          <w:szCs w:val="24"/>
        </w:rPr>
        <w:t>主题：建立“最低科研能力底座”</w:t>
      </w:r>
    </w:p>
    <w:p w14:paraId="321C96B5">
      <w:pPr>
        <w:pStyle w:val="4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sz w:val="24"/>
          <w:szCs w:val="24"/>
        </w:rPr>
        <w:t>一. 学习任务（方法学入门）</w:t>
      </w:r>
    </w:p>
    <w:p w14:paraId="6ED2A72A">
      <w:pPr>
        <w:pStyle w:val="7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sz w:val="24"/>
          <w:szCs w:val="24"/>
        </w:rPr>
        <w:t>重点掌握：</w:t>
      </w:r>
    </w:p>
    <w:p w14:paraId="6AB1841D">
      <w:pPr>
        <w:pStyle w:val="7"/>
        <w:keepNext w:val="0"/>
        <w:keepLines w:val="0"/>
        <w:widowControl/>
        <w:numPr>
          <w:ilvl w:val="0"/>
          <w:numId w:val="1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PICOS 框架</w:t>
      </w:r>
    </w:p>
    <w:p w14:paraId="4AA15FEF">
      <w:pPr>
        <w:pStyle w:val="7"/>
        <w:keepNext w:val="0"/>
        <w:keepLines w:val="0"/>
        <w:widowControl/>
        <w:numPr>
          <w:ilvl w:val="0"/>
          <w:numId w:val="1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CARE 信息清单</w:t>
      </w:r>
    </w:p>
    <w:p w14:paraId="4EA88353">
      <w:pPr>
        <w:pStyle w:val="7"/>
        <w:keepNext w:val="0"/>
        <w:keepLines w:val="0"/>
        <w:widowControl/>
        <w:numPr>
          <w:ilvl w:val="0"/>
          <w:numId w:val="1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STROBE / STROCSS</w:t>
      </w:r>
    </w:p>
    <w:p w14:paraId="062FCD48">
      <w:pPr>
        <w:pStyle w:val="7"/>
        <w:keepNext w:val="0"/>
        <w:keepLines w:val="0"/>
        <w:widowControl/>
        <w:numPr>
          <w:ilvl w:val="0"/>
          <w:numId w:val="1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PRISMA + 检索基础</w:t>
      </w:r>
    </w:p>
    <w:p w14:paraId="14683A49">
      <w:pPr>
        <w:pStyle w:val="7"/>
        <w:keepNext w:val="0"/>
        <w:keepLines w:val="0"/>
        <w:widowControl/>
        <w:numPr>
          <w:ilvl w:val="0"/>
          <w:numId w:val="1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Manuscript Skeleton（病例报告、横断面、小样本）</w:t>
      </w:r>
    </w:p>
    <w:p w14:paraId="5C54A16B">
      <w:pPr>
        <w:pStyle w:val="4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二</w:t>
      </w:r>
      <w:r>
        <w:rPr>
          <w:sz w:val="24"/>
          <w:szCs w:val="24"/>
        </w:rPr>
        <w:t>. 实践任务（课题层面）</w:t>
      </w:r>
    </w:p>
    <w:p w14:paraId="16E7E1B6">
      <w:pPr>
        <w:pStyle w:val="7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sz w:val="24"/>
          <w:szCs w:val="24"/>
        </w:rPr>
        <w:t>团队适合开展：</w:t>
      </w:r>
    </w:p>
    <w:p w14:paraId="3E88B2DA">
      <w:pPr>
        <w:pStyle w:val="7"/>
        <w:keepNext w:val="0"/>
        <w:keepLines w:val="0"/>
        <w:widowControl/>
        <w:numPr>
          <w:ilvl w:val="0"/>
          <w:numId w:val="2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病例报告（CARE）</w:t>
      </w:r>
    </w:p>
    <w:p w14:paraId="5ABAB450">
      <w:pPr>
        <w:pStyle w:val="7"/>
        <w:keepNext w:val="0"/>
        <w:keepLines w:val="0"/>
        <w:widowControl/>
        <w:numPr>
          <w:ilvl w:val="0"/>
          <w:numId w:val="2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病例系列</w:t>
      </w:r>
    </w:p>
    <w:p w14:paraId="3CEABC13">
      <w:pPr>
        <w:pStyle w:val="7"/>
        <w:keepNext w:val="0"/>
        <w:keepLines w:val="0"/>
        <w:widowControl/>
        <w:numPr>
          <w:ilvl w:val="0"/>
          <w:numId w:val="2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小样本横断面研究</w:t>
      </w:r>
    </w:p>
    <w:p w14:paraId="223ED865">
      <w:pPr>
        <w:pStyle w:val="7"/>
        <w:keepNext w:val="0"/>
        <w:keepLines w:val="0"/>
        <w:widowControl/>
        <w:numPr>
          <w:ilvl w:val="0"/>
          <w:numId w:val="2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DIDTS 技术的回顾性队列研究雏形</w:t>
      </w:r>
    </w:p>
    <w:p w14:paraId="42109095">
      <w:pPr>
        <w:pStyle w:val="7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sz w:val="24"/>
          <w:szCs w:val="24"/>
        </w:rPr>
        <w:t>例如：</w:t>
      </w:r>
      <w:r>
        <w:rPr>
          <w:sz w:val="24"/>
          <w:szCs w:val="24"/>
        </w:rPr>
        <w:br w:type="textWrapping"/>
      </w:r>
      <w:r>
        <w:rPr>
          <w:sz w:val="24"/>
          <w:szCs w:val="24"/>
        </w:rPr>
        <w:t>• TEM、CETC、NOSES 15–30例病例系列</w:t>
      </w:r>
      <w:r>
        <w:rPr>
          <w:sz w:val="24"/>
          <w:szCs w:val="24"/>
        </w:rPr>
        <w:br w:type="textWrapping"/>
      </w:r>
      <w:r>
        <w:rPr>
          <w:sz w:val="24"/>
          <w:szCs w:val="24"/>
        </w:rPr>
        <w:t>• PRI 小样本评估（CHS–BHS差值）</w:t>
      </w:r>
      <w:r>
        <w:rPr>
          <w:sz w:val="24"/>
          <w:szCs w:val="24"/>
        </w:rPr>
        <w:br w:type="textWrapping"/>
      </w:r>
      <w:r>
        <w:rPr>
          <w:sz w:val="24"/>
          <w:szCs w:val="24"/>
        </w:rPr>
        <w:t>• 空肠间置术5–10年随访回顾</w:t>
      </w:r>
    </w:p>
    <w:p w14:paraId="6E8C33DA">
      <w:pPr>
        <w:pStyle w:val="4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三</w:t>
      </w:r>
      <w:r>
        <w:rPr>
          <w:sz w:val="24"/>
          <w:szCs w:val="24"/>
        </w:rPr>
        <w:t>. 制度化任务</w:t>
      </w:r>
    </w:p>
    <w:p w14:paraId="3A7F617E">
      <w:pPr>
        <w:pStyle w:val="7"/>
        <w:keepNext w:val="0"/>
        <w:keepLines w:val="0"/>
        <w:widowControl/>
        <w:numPr>
          <w:ilvl w:val="0"/>
          <w:numId w:val="3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建立“科室科研学习班”</w:t>
      </w:r>
    </w:p>
    <w:p w14:paraId="4F51BB03">
      <w:pPr>
        <w:pStyle w:val="7"/>
        <w:keepNext w:val="0"/>
        <w:keepLines w:val="0"/>
        <w:widowControl/>
        <w:numPr>
          <w:ilvl w:val="0"/>
          <w:numId w:val="3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形成病例报告规范（CARE）</w:t>
      </w:r>
    </w:p>
    <w:p w14:paraId="032DA70F">
      <w:pPr>
        <w:pStyle w:val="7"/>
        <w:keepNext w:val="0"/>
        <w:keepLines w:val="0"/>
        <w:widowControl/>
        <w:numPr>
          <w:ilvl w:val="0"/>
          <w:numId w:val="3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建立初版CRF（纸质+电子）</w:t>
      </w:r>
    </w:p>
    <w:p w14:paraId="1DB40C6A">
      <w:pPr>
        <w:pStyle w:val="7"/>
        <w:keepNext w:val="0"/>
        <w:keepLines w:val="0"/>
        <w:widowControl/>
        <w:numPr>
          <w:ilvl w:val="0"/>
          <w:numId w:val="3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建立文献管理规范（EndNote+LLM）</w:t>
      </w:r>
    </w:p>
    <w:p w14:paraId="08BC59FA">
      <w:pPr>
        <w:pStyle w:val="7"/>
        <w:keepNext w:val="0"/>
        <w:keepLines w:val="0"/>
        <w:widowControl/>
        <w:numPr>
          <w:ilvl w:val="0"/>
          <w:numId w:val="3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启动“每月科研例会”制度</w:t>
      </w:r>
    </w:p>
    <w:p w14:paraId="7C2EE859">
      <w:pPr>
        <w:pStyle w:val="4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sz w:val="24"/>
          <w:szCs w:val="24"/>
        </w:rPr>
        <w:t>阶段核心成果</w:t>
      </w:r>
    </w:p>
    <w:p w14:paraId="2300EDEE">
      <w:pPr>
        <w:pStyle w:val="7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sz w:val="24"/>
          <w:szCs w:val="24"/>
        </w:rPr>
        <w:t>团队具备“能写论文”的基本能力，实现 SRWS 的初始落地。</w:t>
      </w:r>
    </w:p>
    <w:p w14:paraId="52C3E65F">
      <w:pPr>
        <w:pStyle w:val="2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sz w:val="24"/>
          <w:szCs w:val="24"/>
        </w:rPr>
        <w:t>阶段二（2027–2028）</w:t>
      </w:r>
    </w:p>
    <w:p w14:paraId="6C26556E">
      <w:pPr>
        <w:pStyle w:val="3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sz w:val="24"/>
          <w:szCs w:val="24"/>
        </w:rPr>
        <w:t>主题：从“能写”走向“能研究”</w:t>
      </w:r>
    </w:p>
    <w:p w14:paraId="115E5E2A">
      <w:pPr>
        <w:pStyle w:val="4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一</w:t>
      </w:r>
      <w:r>
        <w:rPr>
          <w:sz w:val="24"/>
          <w:szCs w:val="24"/>
        </w:rPr>
        <w:t>. 学习任务（进阶方法学）</w:t>
      </w:r>
    </w:p>
    <w:p w14:paraId="6F97DD53">
      <w:pPr>
        <w:pStyle w:val="7"/>
        <w:keepNext w:val="0"/>
        <w:keepLines w:val="0"/>
        <w:widowControl/>
        <w:numPr>
          <w:ilvl w:val="0"/>
          <w:numId w:val="4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STROBE 深度应用</w:t>
      </w:r>
    </w:p>
    <w:p w14:paraId="1B4F050F">
      <w:pPr>
        <w:pStyle w:val="7"/>
        <w:keepNext w:val="0"/>
        <w:keepLines w:val="0"/>
        <w:widowControl/>
        <w:numPr>
          <w:ilvl w:val="0"/>
          <w:numId w:val="4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PRISMA 完整执行（检索策略、纳排标准）</w:t>
      </w:r>
    </w:p>
    <w:p w14:paraId="0E0FDD85">
      <w:pPr>
        <w:pStyle w:val="7"/>
        <w:keepNext w:val="0"/>
        <w:keepLines w:val="0"/>
        <w:widowControl/>
        <w:numPr>
          <w:ilvl w:val="0"/>
          <w:numId w:val="4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基本统计学模块（回归、Logistic、Kaplan-Meier）</w:t>
      </w:r>
    </w:p>
    <w:p w14:paraId="7E62E130">
      <w:pPr>
        <w:pStyle w:val="7"/>
        <w:keepNext w:val="0"/>
        <w:keepLines w:val="0"/>
        <w:widowControl/>
        <w:numPr>
          <w:ilvl w:val="0"/>
          <w:numId w:val="4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Clinical Registry Framework（登记研究）</w:t>
      </w:r>
    </w:p>
    <w:p w14:paraId="0017237B">
      <w:pPr>
        <w:pStyle w:val="7"/>
        <w:keepNext w:val="0"/>
        <w:keepLines w:val="0"/>
        <w:widowControl/>
        <w:numPr>
          <w:ilvl w:val="0"/>
          <w:numId w:val="4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CRF 标准化与数据质量规范</w:t>
      </w:r>
    </w:p>
    <w:p w14:paraId="20DA8E02">
      <w:pPr>
        <w:pStyle w:val="4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二</w:t>
      </w:r>
      <w:r>
        <w:rPr>
          <w:sz w:val="24"/>
          <w:szCs w:val="24"/>
        </w:rPr>
        <w:t>. 实践任务</w:t>
      </w:r>
    </w:p>
    <w:p w14:paraId="3EA8C80C">
      <w:pPr>
        <w:pStyle w:val="7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sz w:val="24"/>
          <w:szCs w:val="24"/>
        </w:rPr>
        <w:t>适合开展：</w:t>
      </w:r>
    </w:p>
    <w:p w14:paraId="54636030">
      <w:pPr>
        <w:pStyle w:val="7"/>
        <w:keepNext w:val="0"/>
        <w:keepLines w:val="0"/>
        <w:widowControl/>
        <w:numPr>
          <w:ilvl w:val="0"/>
          <w:numId w:val="5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前瞻性小队列</w:t>
      </w:r>
    </w:p>
    <w:p w14:paraId="58ACA786">
      <w:pPr>
        <w:pStyle w:val="7"/>
        <w:keepNext w:val="0"/>
        <w:keepLines w:val="0"/>
        <w:widowControl/>
        <w:numPr>
          <w:ilvl w:val="0"/>
          <w:numId w:val="5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DIDTS 数据库链的初步搭建</w:t>
      </w:r>
    </w:p>
    <w:p w14:paraId="355EEA03">
      <w:pPr>
        <w:pStyle w:val="7"/>
        <w:keepNext w:val="0"/>
        <w:keepLines w:val="0"/>
        <w:widowControl/>
        <w:numPr>
          <w:ilvl w:val="0"/>
          <w:numId w:val="5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ESD/EFTR、TEM 小队列（登记研究）</w:t>
      </w:r>
    </w:p>
    <w:p w14:paraId="778BEDFC">
      <w:pPr>
        <w:pStyle w:val="7"/>
        <w:keepNext w:val="0"/>
        <w:keepLines w:val="0"/>
        <w:widowControl/>
        <w:numPr>
          <w:ilvl w:val="0"/>
          <w:numId w:val="5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SPC-ERAS 标准化流程前瞻队列</w:t>
      </w:r>
    </w:p>
    <w:p w14:paraId="05776D4C">
      <w:pPr>
        <w:pStyle w:val="4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三</w:t>
      </w:r>
      <w:r>
        <w:rPr>
          <w:sz w:val="24"/>
          <w:szCs w:val="24"/>
        </w:rPr>
        <w:t>. 制度化任务</w:t>
      </w:r>
    </w:p>
    <w:p w14:paraId="1BB53B3D">
      <w:pPr>
        <w:pStyle w:val="7"/>
        <w:keepNext w:val="0"/>
        <w:keepLines w:val="0"/>
        <w:widowControl/>
        <w:numPr>
          <w:ilvl w:val="0"/>
          <w:numId w:val="6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形成CRF v2.0（电子化）</w:t>
      </w:r>
    </w:p>
    <w:p w14:paraId="6268E808">
      <w:pPr>
        <w:pStyle w:val="7"/>
        <w:keepNext w:val="0"/>
        <w:keepLines w:val="0"/>
        <w:widowControl/>
        <w:numPr>
          <w:ilvl w:val="0"/>
          <w:numId w:val="6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数据字典正式发布</w:t>
      </w:r>
    </w:p>
    <w:p w14:paraId="2CC4FFC7">
      <w:pPr>
        <w:pStyle w:val="7"/>
        <w:keepNext w:val="0"/>
        <w:keepLines w:val="0"/>
        <w:widowControl/>
        <w:numPr>
          <w:ilvl w:val="0"/>
          <w:numId w:val="6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统计分析流程 SOP</w:t>
      </w:r>
    </w:p>
    <w:p w14:paraId="5F2EC85E">
      <w:pPr>
        <w:pStyle w:val="7"/>
        <w:keepNext w:val="0"/>
        <w:keepLines w:val="0"/>
        <w:widowControl/>
        <w:numPr>
          <w:ilvl w:val="0"/>
          <w:numId w:val="6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建立科研助理初级岗位，承担CRF与数据库维护</w:t>
      </w:r>
    </w:p>
    <w:p w14:paraId="18FA3482">
      <w:pPr>
        <w:pStyle w:val="7"/>
        <w:keepNext w:val="0"/>
        <w:keepLines w:val="0"/>
        <w:widowControl/>
        <w:numPr>
          <w:ilvl w:val="0"/>
          <w:numId w:val="6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形成“科研KPI体系v1.0”（按人头、按课题分配）</w:t>
      </w:r>
    </w:p>
    <w:p w14:paraId="5D727791">
      <w:pPr>
        <w:pStyle w:val="4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sz w:val="24"/>
          <w:szCs w:val="24"/>
        </w:rPr>
        <w:t>阶段核心成果</w:t>
      </w:r>
    </w:p>
    <w:p w14:paraId="414FE109">
      <w:pPr>
        <w:pStyle w:val="7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sz w:val="24"/>
          <w:szCs w:val="24"/>
        </w:rPr>
        <w:t>临床研究不再停留在写论文，而是能“做研究”。</w:t>
      </w:r>
    </w:p>
    <w:p w14:paraId="100A8293">
      <w:pPr>
        <w:pStyle w:val="2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sz w:val="24"/>
          <w:szCs w:val="24"/>
        </w:rPr>
        <w:t>阶段三（2029–2030）</w:t>
      </w:r>
    </w:p>
    <w:p w14:paraId="5FB0A39D">
      <w:pPr>
        <w:pStyle w:val="3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sz w:val="24"/>
          <w:szCs w:val="24"/>
        </w:rPr>
        <w:t>主题： SRWS 成型，进入结构化科研阶段</w:t>
      </w:r>
    </w:p>
    <w:p w14:paraId="1F0D9DF0">
      <w:pPr>
        <w:pStyle w:val="4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一</w:t>
      </w:r>
      <w:r>
        <w:rPr>
          <w:sz w:val="24"/>
          <w:szCs w:val="24"/>
        </w:rPr>
        <w:t>. 学习任务（高级方法学）</w:t>
      </w:r>
    </w:p>
    <w:p w14:paraId="556D353C">
      <w:pPr>
        <w:pStyle w:val="7"/>
        <w:keepNext w:val="0"/>
        <w:keepLines w:val="0"/>
        <w:widowControl/>
        <w:numPr>
          <w:ilvl w:val="0"/>
          <w:numId w:val="7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Protocol 模板</w:t>
      </w:r>
    </w:p>
    <w:p w14:paraId="10F80505">
      <w:pPr>
        <w:pStyle w:val="7"/>
        <w:keepNext w:val="0"/>
        <w:keepLines w:val="0"/>
        <w:widowControl/>
        <w:numPr>
          <w:ilvl w:val="0"/>
          <w:numId w:val="7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Delphi 法（用于 SPC-ERAS、PRI、DIDTS 路径）</w:t>
      </w:r>
    </w:p>
    <w:p w14:paraId="25646389">
      <w:pPr>
        <w:pStyle w:val="7"/>
        <w:keepNext w:val="0"/>
        <w:keepLines w:val="0"/>
        <w:widowControl/>
        <w:numPr>
          <w:ilvl w:val="0"/>
          <w:numId w:val="7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TRIPOD（预测模型）</w:t>
      </w:r>
    </w:p>
    <w:p w14:paraId="5629005E">
      <w:pPr>
        <w:pStyle w:val="7"/>
        <w:keepNext w:val="0"/>
        <w:keepLines w:val="0"/>
        <w:widowControl/>
        <w:numPr>
          <w:ilvl w:val="0"/>
          <w:numId w:val="7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RWS/RWE 完整流程</w:t>
      </w:r>
    </w:p>
    <w:p w14:paraId="561D40A2">
      <w:pPr>
        <w:pStyle w:val="7"/>
        <w:keepNext w:val="0"/>
        <w:keepLines w:val="0"/>
        <w:widowControl/>
        <w:numPr>
          <w:ilvl w:val="0"/>
          <w:numId w:val="7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Early-stage IP Mapping（医工项目准备）</w:t>
      </w:r>
    </w:p>
    <w:p w14:paraId="2212922C">
      <w:pPr>
        <w:pStyle w:val="4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二</w:t>
      </w:r>
      <w:r>
        <w:rPr>
          <w:sz w:val="24"/>
          <w:szCs w:val="24"/>
        </w:rPr>
        <w:t>. 实践任务</w:t>
      </w:r>
    </w:p>
    <w:p w14:paraId="0D121E84">
      <w:pPr>
        <w:pStyle w:val="7"/>
        <w:keepNext w:val="0"/>
        <w:keepLines w:val="0"/>
        <w:widowControl/>
        <w:numPr>
          <w:ilvl w:val="0"/>
          <w:numId w:val="8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DIDTS 微创技术 RWS 阶段完成</w:t>
      </w:r>
    </w:p>
    <w:p w14:paraId="688A1740">
      <w:pPr>
        <w:pStyle w:val="7"/>
        <w:keepNext w:val="0"/>
        <w:keepLines w:val="0"/>
        <w:widowControl/>
        <w:numPr>
          <w:ilvl w:val="0"/>
          <w:numId w:val="8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PRI、PoRA-6 单模型 → 预测模型</w:t>
      </w:r>
    </w:p>
    <w:p w14:paraId="7DF65284">
      <w:pPr>
        <w:pStyle w:val="7"/>
        <w:keepNext w:val="0"/>
        <w:keepLines w:val="0"/>
        <w:widowControl/>
        <w:numPr>
          <w:ilvl w:val="0"/>
          <w:numId w:val="8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内镜装置（CETC）或 SMLSP 的早期结构化研究</w:t>
      </w:r>
    </w:p>
    <w:p w14:paraId="3F70215D">
      <w:pPr>
        <w:pStyle w:val="7"/>
        <w:keepNext w:val="0"/>
        <w:keepLines w:val="0"/>
        <w:widowControl/>
        <w:numPr>
          <w:ilvl w:val="0"/>
          <w:numId w:val="8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制定 SPC-ERAS、DIDTS 路径的 Delphi 专家共识</w:t>
      </w:r>
    </w:p>
    <w:p w14:paraId="457AAC62">
      <w:pPr>
        <w:pStyle w:val="4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三</w:t>
      </w:r>
      <w:r>
        <w:rPr>
          <w:sz w:val="24"/>
          <w:szCs w:val="24"/>
        </w:rPr>
        <w:t>. 制度化任务</w:t>
      </w:r>
    </w:p>
    <w:p w14:paraId="24C02452">
      <w:pPr>
        <w:pStyle w:val="7"/>
        <w:keepNext w:val="0"/>
        <w:keepLines w:val="0"/>
        <w:widowControl/>
        <w:numPr>
          <w:ilvl w:val="0"/>
          <w:numId w:val="8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建立“科室科研PMO”（由科研助理+医生组合）</w:t>
      </w:r>
    </w:p>
    <w:p w14:paraId="0CD1CE7A">
      <w:pPr>
        <w:pStyle w:val="7"/>
        <w:keepNext w:val="0"/>
        <w:keepLines w:val="0"/>
        <w:widowControl/>
        <w:numPr>
          <w:ilvl w:val="0"/>
          <w:numId w:val="8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形成 Protocol 基本模板</w:t>
      </w:r>
    </w:p>
    <w:p w14:paraId="6D8567D1">
      <w:pPr>
        <w:pStyle w:val="7"/>
        <w:keepNext w:val="0"/>
        <w:keepLines w:val="0"/>
        <w:widowControl/>
        <w:numPr>
          <w:ilvl w:val="0"/>
          <w:numId w:val="8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科室纳入：课题—论文—专利 三位一体结构</w:t>
      </w:r>
    </w:p>
    <w:p w14:paraId="72E097E9">
      <w:pPr>
        <w:pStyle w:val="7"/>
        <w:keepNext w:val="0"/>
        <w:keepLines w:val="0"/>
        <w:widowControl/>
        <w:numPr>
          <w:ilvl w:val="0"/>
          <w:numId w:val="8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制定科室级 SOP（随访、数据库、统计、写作）</w:t>
      </w:r>
    </w:p>
    <w:p w14:paraId="3A9C70B7">
      <w:pPr>
        <w:pStyle w:val="7"/>
        <w:keepNext w:val="0"/>
        <w:keepLines w:val="0"/>
        <w:widowControl/>
        <w:numPr>
          <w:ilvl w:val="0"/>
          <w:numId w:val="8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建立跨部门支持体系（信息科、医工工程师）</w:t>
      </w:r>
    </w:p>
    <w:p w14:paraId="73E60677">
      <w:pPr>
        <w:pStyle w:val="4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sz w:val="24"/>
          <w:szCs w:val="24"/>
        </w:rPr>
        <w:t>阶段核心成果</w:t>
      </w:r>
    </w:p>
    <w:p w14:paraId="050FC2AE">
      <w:pPr>
        <w:pStyle w:val="7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sz w:val="24"/>
          <w:szCs w:val="24"/>
        </w:rPr>
        <w:t>科室具备“系统化科研能力”，能够承担自治区级课题。</w:t>
      </w:r>
    </w:p>
    <w:p w14:paraId="59DD975E">
      <w:pPr>
        <w:keepNext w:val="0"/>
        <w:keepLines w:val="0"/>
        <w:widowControl/>
        <w:suppressLineNumbers w:val="0"/>
        <w:rPr>
          <w:sz w:val="24"/>
          <w:szCs w:val="24"/>
        </w:rPr>
      </w:pPr>
    </w:p>
    <w:p w14:paraId="59E7AEF7">
      <w:pPr>
        <w:pStyle w:val="2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sz w:val="24"/>
          <w:szCs w:val="24"/>
        </w:rPr>
        <w:t>阶段四（2031–2032）</w:t>
      </w:r>
    </w:p>
    <w:p w14:paraId="2E5DF7B2">
      <w:pPr>
        <w:pStyle w:val="3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sz w:val="24"/>
          <w:szCs w:val="24"/>
        </w:rPr>
        <w:t>主题：能力跃升，进入“高质量科研阶段”</w:t>
      </w:r>
    </w:p>
    <w:p w14:paraId="0177EABB">
      <w:pPr>
        <w:pStyle w:val="4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一</w:t>
      </w:r>
      <w:r>
        <w:rPr>
          <w:sz w:val="24"/>
          <w:szCs w:val="24"/>
        </w:rPr>
        <w:t>. 学习任务</w:t>
      </w:r>
    </w:p>
    <w:p w14:paraId="52ADA8F6">
      <w:pPr>
        <w:pStyle w:val="7"/>
        <w:keepNext w:val="0"/>
        <w:keepLines w:val="0"/>
        <w:widowControl/>
        <w:numPr>
          <w:ilvl w:val="0"/>
          <w:numId w:val="9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CONSORT</w:t>
      </w:r>
    </w:p>
    <w:p w14:paraId="1B9861E8">
      <w:pPr>
        <w:pStyle w:val="7"/>
        <w:keepNext w:val="0"/>
        <w:keepLines w:val="0"/>
        <w:widowControl/>
        <w:numPr>
          <w:ilvl w:val="0"/>
          <w:numId w:val="9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GCP 基础</w:t>
      </w:r>
    </w:p>
    <w:p w14:paraId="04CA5C92">
      <w:pPr>
        <w:pStyle w:val="7"/>
        <w:keepNext w:val="0"/>
        <w:keepLines w:val="0"/>
        <w:widowControl/>
        <w:numPr>
          <w:ilvl w:val="0"/>
          <w:numId w:val="9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大型前瞻性队列组织能力</w:t>
      </w:r>
    </w:p>
    <w:p w14:paraId="4CAADBB5">
      <w:pPr>
        <w:pStyle w:val="7"/>
        <w:keepNext w:val="0"/>
        <w:keepLines w:val="0"/>
        <w:widowControl/>
        <w:numPr>
          <w:ilvl w:val="0"/>
          <w:numId w:val="9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工程研究方法（对接 SMLSP/CETC/C-EMR）</w:t>
      </w:r>
    </w:p>
    <w:p w14:paraId="32BE4A50">
      <w:pPr>
        <w:pStyle w:val="4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二</w:t>
      </w:r>
      <w:r>
        <w:rPr>
          <w:sz w:val="24"/>
          <w:szCs w:val="24"/>
        </w:rPr>
        <w:t>. 实践任务</w:t>
      </w:r>
    </w:p>
    <w:p w14:paraId="7BE982E8">
      <w:pPr>
        <w:pStyle w:val="7"/>
        <w:keepNext w:val="0"/>
        <w:keepLines w:val="0"/>
        <w:widowControl/>
        <w:numPr>
          <w:ilvl w:val="0"/>
          <w:numId w:val="10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DIDTS 区域性多中心队列</w:t>
      </w:r>
    </w:p>
    <w:p w14:paraId="4F382ACD">
      <w:pPr>
        <w:pStyle w:val="7"/>
        <w:keepNext w:val="0"/>
        <w:keepLines w:val="0"/>
        <w:widowControl/>
        <w:numPr>
          <w:ilvl w:val="0"/>
          <w:numId w:val="10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SPC-ERAS 区域推广与真实世界验证</w:t>
      </w:r>
    </w:p>
    <w:p w14:paraId="4ED9CCF2">
      <w:pPr>
        <w:pStyle w:val="7"/>
        <w:keepNext w:val="0"/>
        <w:keepLines w:val="0"/>
        <w:widowControl/>
        <w:numPr>
          <w:ilvl w:val="0"/>
          <w:numId w:val="10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预测模型（PRI/PoRA-6）进入临床应用验证</w:t>
      </w:r>
    </w:p>
    <w:p w14:paraId="492E8521">
      <w:pPr>
        <w:pStyle w:val="7"/>
        <w:keepNext w:val="0"/>
        <w:keepLines w:val="0"/>
        <w:widowControl/>
        <w:numPr>
          <w:ilvl w:val="0"/>
          <w:numId w:val="10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医工交叉项目（机器人、内镜）进入原型测试</w:t>
      </w:r>
    </w:p>
    <w:p w14:paraId="74458622">
      <w:pPr>
        <w:pStyle w:val="4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三</w:t>
      </w:r>
      <w:r>
        <w:rPr>
          <w:sz w:val="24"/>
          <w:szCs w:val="24"/>
        </w:rPr>
        <w:t>. 制度化任务</w:t>
      </w:r>
    </w:p>
    <w:p w14:paraId="7C4E11B2">
      <w:pPr>
        <w:pStyle w:val="7"/>
        <w:keepNext w:val="0"/>
        <w:keepLines w:val="0"/>
        <w:widowControl/>
        <w:numPr>
          <w:ilvl w:val="0"/>
          <w:numId w:val="11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科室科研助理队伍成熟（形成1–2名主干）</w:t>
      </w:r>
    </w:p>
    <w:p w14:paraId="4D71672B">
      <w:pPr>
        <w:pStyle w:val="7"/>
        <w:keepNext w:val="0"/>
        <w:keepLines w:val="0"/>
        <w:widowControl/>
        <w:numPr>
          <w:ilvl w:val="0"/>
          <w:numId w:val="11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数据平台升级，RWS 可审计</w:t>
      </w:r>
    </w:p>
    <w:p w14:paraId="64AB1999">
      <w:pPr>
        <w:pStyle w:val="7"/>
        <w:keepNext w:val="0"/>
        <w:keepLines w:val="0"/>
        <w:widowControl/>
        <w:numPr>
          <w:ilvl w:val="0"/>
          <w:numId w:val="11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形成“医工交叉科研管理体系”</w:t>
      </w:r>
    </w:p>
    <w:p w14:paraId="311C7B32">
      <w:pPr>
        <w:pStyle w:val="7"/>
        <w:keepNext w:val="0"/>
        <w:keepLines w:val="0"/>
        <w:widowControl/>
        <w:numPr>
          <w:ilvl w:val="0"/>
          <w:numId w:val="11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KPI体系进入2.0版本（与职称、晋升挂钩）</w:t>
      </w:r>
    </w:p>
    <w:p w14:paraId="300861B2">
      <w:pPr>
        <w:pStyle w:val="4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sz w:val="24"/>
          <w:szCs w:val="24"/>
        </w:rPr>
        <w:t>阶段核心成果</w:t>
      </w:r>
    </w:p>
    <w:p w14:paraId="5F27D9DB">
      <w:pPr>
        <w:pStyle w:val="7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sz w:val="24"/>
          <w:szCs w:val="24"/>
        </w:rPr>
        <w:t>具备“高质量临床研究 + 工程转化研究”双向能力。</w:t>
      </w:r>
    </w:p>
    <w:p w14:paraId="080D4419">
      <w:pPr>
        <w:keepNext w:val="0"/>
        <w:keepLines w:val="0"/>
        <w:widowControl/>
        <w:suppressLineNumbers w:val="0"/>
        <w:rPr>
          <w:sz w:val="24"/>
          <w:szCs w:val="24"/>
        </w:rPr>
      </w:pPr>
    </w:p>
    <w:p w14:paraId="6BB98B76">
      <w:pPr>
        <w:pStyle w:val="2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sz w:val="24"/>
          <w:szCs w:val="24"/>
        </w:rPr>
        <w:t>阶段五（2033–2035）</w:t>
      </w:r>
    </w:p>
    <w:p w14:paraId="7E55678F">
      <w:pPr>
        <w:pStyle w:val="3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sz w:val="24"/>
          <w:szCs w:val="24"/>
        </w:rPr>
        <w:t>主题：SRWS 全面成熟，形成科室科研文化</w:t>
      </w:r>
    </w:p>
    <w:p w14:paraId="0A3F930A">
      <w:pPr>
        <w:pStyle w:val="4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一</w:t>
      </w:r>
      <w:r>
        <w:rPr>
          <w:sz w:val="24"/>
          <w:szCs w:val="24"/>
        </w:rPr>
        <w:t>. 学习任务</w:t>
      </w:r>
    </w:p>
    <w:p w14:paraId="4E71B2DB">
      <w:pPr>
        <w:pStyle w:val="7"/>
        <w:keepNext w:val="0"/>
        <w:keepLines w:val="0"/>
        <w:widowControl/>
        <w:numPr>
          <w:ilvl w:val="0"/>
          <w:numId w:val="12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国际共识制定流程</w:t>
      </w:r>
    </w:p>
    <w:p w14:paraId="3F840D25">
      <w:pPr>
        <w:pStyle w:val="7"/>
        <w:keepNext w:val="0"/>
        <w:keepLines w:val="0"/>
        <w:widowControl/>
        <w:numPr>
          <w:ilvl w:val="0"/>
          <w:numId w:val="12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国际多中心合作方法学</w:t>
      </w:r>
    </w:p>
    <w:p w14:paraId="2C205D68">
      <w:pPr>
        <w:pStyle w:val="7"/>
        <w:keepNext w:val="0"/>
        <w:keepLines w:val="0"/>
        <w:widowControl/>
        <w:numPr>
          <w:ilvl w:val="0"/>
          <w:numId w:val="12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先进统计（机器学习、预测模型校准）</w:t>
      </w:r>
    </w:p>
    <w:p w14:paraId="17F9BE6B">
      <w:pPr>
        <w:pStyle w:val="4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二</w:t>
      </w:r>
      <w:r>
        <w:rPr>
          <w:sz w:val="24"/>
          <w:szCs w:val="24"/>
        </w:rPr>
        <w:t>. 实践任务</w:t>
      </w:r>
    </w:p>
    <w:p w14:paraId="0AFF451D">
      <w:pPr>
        <w:pStyle w:val="7"/>
        <w:keepNext w:val="0"/>
        <w:keepLines w:val="0"/>
        <w:widowControl/>
        <w:numPr>
          <w:ilvl w:val="0"/>
          <w:numId w:val="13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输出区域标准（DIDTS、SPC-ERAS）</w:t>
      </w:r>
    </w:p>
    <w:p w14:paraId="654F9144">
      <w:pPr>
        <w:pStyle w:val="7"/>
        <w:keepNext w:val="0"/>
        <w:keepLines w:val="0"/>
        <w:widowControl/>
        <w:numPr>
          <w:ilvl w:val="0"/>
          <w:numId w:val="13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发表国际高质量论文</w:t>
      </w:r>
    </w:p>
    <w:p w14:paraId="3C8A1E74">
      <w:pPr>
        <w:pStyle w:val="7"/>
        <w:keepNext w:val="0"/>
        <w:keepLines w:val="0"/>
        <w:widowControl/>
        <w:numPr>
          <w:ilvl w:val="0"/>
          <w:numId w:val="13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医工项目进入注册试验</w:t>
      </w:r>
    </w:p>
    <w:p w14:paraId="1B170A7A">
      <w:pPr>
        <w:pStyle w:val="7"/>
        <w:keepNext w:val="0"/>
        <w:keepLines w:val="0"/>
        <w:widowControl/>
        <w:numPr>
          <w:ilvl w:val="0"/>
          <w:numId w:val="13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建立科室—企业—学校 三方持续创新机制</w:t>
      </w:r>
    </w:p>
    <w:p w14:paraId="3A0611EC">
      <w:pPr>
        <w:pStyle w:val="4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三</w:t>
      </w:r>
      <w:r>
        <w:rPr>
          <w:sz w:val="24"/>
          <w:szCs w:val="24"/>
        </w:rPr>
        <w:t>. 制度化任务</w:t>
      </w:r>
    </w:p>
    <w:p w14:paraId="6B7FD803">
      <w:pPr>
        <w:pStyle w:val="7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sz w:val="24"/>
          <w:szCs w:val="24"/>
        </w:rPr>
        <w:t>SRWS v3.0（最终版）</w:t>
      </w:r>
    </w:p>
    <w:p w14:paraId="709F7D5B">
      <w:pPr>
        <w:pStyle w:val="7"/>
        <w:keepNext w:val="0"/>
        <w:keepLines w:val="0"/>
        <w:widowControl/>
        <w:numPr>
          <w:ilvl w:val="0"/>
          <w:numId w:val="14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科室科研文化固定化：</w:t>
      </w:r>
    </w:p>
    <w:p w14:paraId="6076BB38">
      <w:pPr>
        <w:pStyle w:val="7"/>
        <w:keepNext w:val="0"/>
        <w:keepLines w:val="0"/>
        <w:widowControl/>
        <w:numPr>
          <w:ilvl w:val="0"/>
          <w:numId w:val="14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每年固定课题</w:t>
      </w:r>
    </w:p>
    <w:p w14:paraId="049B4EE7">
      <w:pPr>
        <w:pStyle w:val="7"/>
        <w:keepNext w:val="0"/>
        <w:keepLines w:val="0"/>
        <w:widowControl/>
        <w:numPr>
          <w:ilvl w:val="0"/>
          <w:numId w:val="14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每人固定论文</w:t>
      </w:r>
    </w:p>
    <w:p w14:paraId="73CE7E17">
      <w:pPr>
        <w:pStyle w:val="7"/>
        <w:keepNext w:val="0"/>
        <w:keepLines w:val="0"/>
        <w:widowControl/>
        <w:numPr>
          <w:ilvl w:val="0"/>
          <w:numId w:val="14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每团队固定研究方向</w:t>
      </w:r>
    </w:p>
    <w:p w14:paraId="1E2D8A82">
      <w:pPr>
        <w:pStyle w:val="7"/>
        <w:keepNext w:val="0"/>
        <w:keepLines w:val="0"/>
        <w:widowControl/>
        <w:numPr>
          <w:ilvl w:val="0"/>
          <w:numId w:val="14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科室科研产出形成“可预期年度节奏”</w:t>
      </w:r>
    </w:p>
    <w:p w14:paraId="4413DBB6">
      <w:pPr>
        <w:pStyle w:val="4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sz w:val="24"/>
          <w:szCs w:val="24"/>
        </w:rPr>
        <w:t>阶段核心成果</w:t>
      </w:r>
    </w:p>
    <w:p w14:paraId="479B4240">
      <w:pPr>
        <w:pStyle w:val="7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sz w:val="24"/>
          <w:szCs w:val="24"/>
        </w:rPr>
        <w:t>科室达到“完全具备研究型外科科室标准”：</w:t>
      </w:r>
    </w:p>
    <w:p w14:paraId="15268041">
      <w:pPr>
        <w:pStyle w:val="7"/>
        <w:keepNext w:val="0"/>
        <w:keepLines w:val="0"/>
        <w:widowControl/>
        <w:numPr>
          <w:ilvl w:val="0"/>
          <w:numId w:val="15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稳定课题产出</w:t>
      </w:r>
    </w:p>
    <w:p w14:paraId="77499A8E">
      <w:pPr>
        <w:pStyle w:val="7"/>
        <w:keepNext w:val="0"/>
        <w:keepLines w:val="0"/>
        <w:widowControl/>
        <w:numPr>
          <w:ilvl w:val="0"/>
          <w:numId w:val="15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稳定高质量论文</w:t>
      </w:r>
    </w:p>
    <w:p w14:paraId="036F622B">
      <w:pPr>
        <w:pStyle w:val="7"/>
        <w:keepNext w:val="0"/>
        <w:keepLines w:val="0"/>
        <w:widowControl/>
        <w:numPr>
          <w:ilvl w:val="0"/>
          <w:numId w:val="15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稳定技术创新</w:t>
      </w:r>
    </w:p>
    <w:p w14:paraId="60F10800">
      <w:pPr>
        <w:pStyle w:val="7"/>
        <w:keepNext w:val="0"/>
        <w:keepLines w:val="0"/>
        <w:widowControl/>
        <w:numPr>
          <w:ilvl w:val="0"/>
          <w:numId w:val="15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稳定医工项目</w:t>
      </w:r>
    </w:p>
    <w:p w14:paraId="55EC360C">
      <w:pPr>
        <w:pStyle w:val="7"/>
        <w:keepNext w:val="0"/>
        <w:keepLines w:val="0"/>
        <w:widowControl/>
        <w:numPr>
          <w:ilvl w:val="0"/>
          <w:numId w:val="15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稳定人才培养</w:t>
      </w:r>
    </w:p>
    <w:p w14:paraId="1E7C1902">
      <w:pPr>
        <w:pStyle w:val="2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sz w:val="24"/>
          <w:szCs w:val="24"/>
        </w:rPr>
        <w:t>第三部分 十年成果预期（可作为结尾）</w:t>
      </w:r>
    </w:p>
    <w:p w14:paraId="78A8BA02">
      <w:pPr>
        <w:pStyle w:val="7"/>
        <w:keepNext w:val="0"/>
        <w:keepLines w:val="0"/>
        <w:widowControl/>
        <w:numPr>
          <w:ilvl w:val="0"/>
          <w:numId w:val="16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SRWS 全流程成熟，形成科室标准</w:t>
      </w:r>
    </w:p>
    <w:p w14:paraId="7B7CAA5B">
      <w:pPr>
        <w:pStyle w:val="7"/>
        <w:keepNext w:val="0"/>
        <w:keepLines w:val="0"/>
        <w:widowControl/>
        <w:numPr>
          <w:ilvl w:val="0"/>
          <w:numId w:val="16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数据库链（DIDTS）完善，可用于任何队列研究</w:t>
      </w:r>
    </w:p>
    <w:p w14:paraId="558E5ADC">
      <w:pPr>
        <w:pStyle w:val="7"/>
        <w:keepNext w:val="0"/>
        <w:keepLines w:val="0"/>
        <w:widowControl/>
        <w:numPr>
          <w:ilvl w:val="0"/>
          <w:numId w:val="16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科研助理体系成熟</w:t>
      </w:r>
    </w:p>
    <w:p w14:paraId="18727C0F">
      <w:pPr>
        <w:pStyle w:val="7"/>
        <w:keepNext w:val="0"/>
        <w:keepLines w:val="0"/>
        <w:widowControl/>
        <w:numPr>
          <w:ilvl w:val="0"/>
          <w:numId w:val="16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团队能独立完成高质量课题申报（自治区、新技术、市级）</w:t>
      </w:r>
    </w:p>
    <w:p w14:paraId="119B9AD9">
      <w:pPr>
        <w:pStyle w:val="7"/>
        <w:keepNext w:val="0"/>
        <w:keepLines w:val="0"/>
        <w:widowControl/>
        <w:numPr>
          <w:ilvl w:val="0"/>
          <w:numId w:val="16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形成“研究方向 → 课题 → 论文 → 专利 → 装置”闭环</w:t>
      </w:r>
    </w:p>
    <w:p w14:paraId="2F8F55F7">
      <w:pPr>
        <w:pStyle w:val="7"/>
        <w:keepNext w:val="0"/>
        <w:keepLines w:val="0"/>
        <w:widowControl/>
        <w:numPr>
          <w:ilvl w:val="0"/>
          <w:numId w:val="16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科室具备区域科研引领能力</w:t>
      </w:r>
    </w:p>
    <w:p w14:paraId="1136A16B">
      <w:pPr>
        <w:pStyle w:val="7"/>
        <w:keepNext w:val="0"/>
        <w:keepLines w:val="0"/>
        <w:widowControl/>
        <w:numPr>
          <w:ilvl w:val="0"/>
          <w:numId w:val="16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医工融合方向形成持续性成果（SMLSP、CETC、C-EMR）</w:t>
      </w:r>
    </w:p>
    <w:p w14:paraId="3F6B8E1A">
      <w:pPr>
        <w:pStyle w:val="7"/>
        <w:keepNext w:val="0"/>
        <w:keepLines w:val="0"/>
        <w:widowControl/>
        <w:numPr>
          <w:ilvl w:val="0"/>
          <w:numId w:val="16"/>
        </w:numPr>
        <w:suppressLineNumbers w:val="0"/>
        <w:ind w:left="425" w:leftChars="0" w:hanging="425" w:firstLineChars="0"/>
        <w:rPr>
          <w:sz w:val="24"/>
          <w:szCs w:val="24"/>
        </w:rPr>
      </w:pPr>
      <w:r>
        <w:rPr>
          <w:sz w:val="24"/>
          <w:szCs w:val="24"/>
        </w:rPr>
        <w:t>年轻医生具备规范科研能力，科室科研文化完全建立</w:t>
      </w:r>
    </w:p>
    <w:p w14:paraId="52C90B02">
      <w:pPr>
        <w:keepNext w:val="0"/>
        <w:keepLines w:val="0"/>
        <w:widowControl/>
        <w:suppressLineNumbers w:val="0"/>
      </w:pPr>
    </w:p>
    <w:p w14:paraId="5B5D7556"/>
    <w:sectPr>
      <w:headerReference r:id="rId4" w:type="first"/>
      <w:footerReference r:id="rId7" w:type="first"/>
      <w:footerReference r:id="rId5" w:type="default"/>
      <w:headerReference r:id="rId3" w:type="even"/>
      <w:footerReference r:id="rId6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E160C8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40B46E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040B46E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757CC0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401BB0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3CC625"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401D2E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9AF9B8"/>
    <w:multiLevelType w:val="singleLevel"/>
    <w:tmpl w:val="8C9AF9B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9AD89133"/>
    <w:multiLevelType w:val="singleLevel"/>
    <w:tmpl w:val="9AD8913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9E267E0A"/>
    <w:multiLevelType w:val="singleLevel"/>
    <w:tmpl w:val="9E267E0A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A74C5439"/>
    <w:multiLevelType w:val="singleLevel"/>
    <w:tmpl w:val="A74C543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B5D0B7DF"/>
    <w:multiLevelType w:val="singleLevel"/>
    <w:tmpl w:val="B5D0B7DF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C2F30A07"/>
    <w:multiLevelType w:val="singleLevel"/>
    <w:tmpl w:val="C2F30A0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6">
    <w:nsid w:val="C6A81878"/>
    <w:multiLevelType w:val="singleLevel"/>
    <w:tmpl w:val="C6A8187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7">
    <w:nsid w:val="1346EF44"/>
    <w:multiLevelType w:val="singleLevel"/>
    <w:tmpl w:val="1346EF4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8">
    <w:nsid w:val="2EB39F52"/>
    <w:multiLevelType w:val="singleLevel"/>
    <w:tmpl w:val="2EB39F5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9">
    <w:nsid w:val="3D7AC149"/>
    <w:multiLevelType w:val="singleLevel"/>
    <w:tmpl w:val="3D7AC14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0">
    <w:nsid w:val="5F6C5E52"/>
    <w:multiLevelType w:val="singleLevel"/>
    <w:tmpl w:val="5F6C5E5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1">
    <w:nsid w:val="63CA54DB"/>
    <w:multiLevelType w:val="singleLevel"/>
    <w:tmpl w:val="63CA54DB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2">
    <w:nsid w:val="6EDE284E"/>
    <w:multiLevelType w:val="singleLevel"/>
    <w:tmpl w:val="6EDE284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3">
    <w:nsid w:val="7187263E"/>
    <w:multiLevelType w:val="singleLevel"/>
    <w:tmpl w:val="7187263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4">
    <w:nsid w:val="772CCDC8"/>
    <w:multiLevelType w:val="singleLevel"/>
    <w:tmpl w:val="772CCDC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5">
    <w:nsid w:val="79133032"/>
    <w:multiLevelType w:val="singleLevel"/>
    <w:tmpl w:val="7913303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1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13"/>
  </w:num>
  <w:num w:numId="7">
    <w:abstractNumId w:val="7"/>
  </w:num>
  <w:num w:numId="8">
    <w:abstractNumId w:val="10"/>
  </w:num>
  <w:num w:numId="9">
    <w:abstractNumId w:val="14"/>
  </w:num>
  <w:num w:numId="10">
    <w:abstractNumId w:val="3"/>
  </w:num>
  <w:num w:numId="11">
    <w:abstractNumId w:val="12"/>
  </w:num>
  <w:num w:numId="12">
    <w:abstractNumId w:val="15"/>
  </w:num>
  <w:num w:numId="13">
    <w:abstractNumId w:val="8"/>
  </w:num>
  <w:num w:numId="14">
    <w:abstractNumId w:val="0"/>
  </w:num>
  <w:num w:numId="15">
    <w:abstractNumId w:val="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7748BE"/>
    <w:rsid w:val="13DF4CA5"/>
    <w:rsid w:val="1FDA4FD1"/>
    <w:rsid w:val="4DB22585"/>
    <w:rsid w:val="527748BE"/>
    <w:rsid w:val="7054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cs="仿宋" w:asciiTheme="minorHAnsi" w:hAnsiTheme="minorHAnsi"/>
      <w:kern w:val="2"/>
      <w:sz w:val="28"/>
      <w:szCs w:val="28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2025-11-27T16:32:00Z</dcterms:created>
  <dc:creator>王腾祺</dc:creator>
  <cp:lastModifiedBy>王腾祺</cp:lastModifiedBy>
  <dcterms:modified xsi:type="dcterms:W3CDTF">2025-11-27T16:43:32Z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B7AABDA685A6464B8E3FC6A633F50B82_13</vt:lpwstr>
  </property>
  <property fmtid="{D5CDD505-2E9C-101B-9397-08002B2CF9AE}" pid="4" name="KSOTemplateDocerSaveRecord">
    <vt:lpwstr>eyJoZGlkIjoiODg3M2RjMWE3ZWVjY2EzN2VkNTIyYjY3M2Q5NGE0MzMiLCJ1c2VySWQiOiIxNDgwMTQyMTM0In0=</vt:lpwstr>
  </property>
</Properties>
</file>