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ED33F5">
      <w:r>
        <w:br w:type="textWrapping"/>
      </w:r>
      <w:r>
        <w:br w:type="textWrapping"/>
      </w:r>
      <w:r>
        <w:br w:type="textWrapping"/>
      </w:r>
    </w:p>
    <w:p w14:paraId="00536DDA">
      <w:pPr>
        <w:pStyle w:val="3"/>
        <w:bidi w:val="0"/>
        <w:jc w:val="center"/>
        <w:rPr>
          <w:rFonts w:hint="eastAsia" w:ascii="微软雅黑" w:hAnsi="微软雅黑" w:eastAsia="微软雅黑" w:cs="微软雅黑"/>
          <w:sz w:val="44"/>
          <w:szCs w:val="44"/>
        </w:rPr>
      </w:pPr>
      <w:bookmarkStart w:id="0" w:name="_Toc15624"/>
      <w:r>
        <w:rPr>
          <w:rFonts w:hint="eastAsia" w:ascii="微软雅黑" w:hAnsi="微软雅黑" w:eastAsia="微软雅黑" w:cs="微软雅黑"/>
          <w:sz w:val="44"/>
          <w:szCs w:val="44"/>
        </w:rPr>
        <w:t>巴彦淖尔市医院</w:t>
      </w:r>
      <w:r>
        <w:rPr>
          <w:rFonts w:hint="eastAsia" w:ascii="微软雅黑" w:hAnsi="微软雅黑" w:eastAsia="微软雅黑" w:cs="微软雅黑"/>
          <w:sz w:val="44"/>
          <w:szCs w:val="44"/>
          <w:lang w:val="en-US" w:eastAsia="zh-CN"/>
        </w:rPr>
        <w:t>胃肠外科</w:t>
      </w:r>
      <w:r>
        <w:rPr>
          <w:rFonts w:hint="eastAsia" w:ascii="微软雅黑" w:hAnsi="微软雅黑" w:eastAsia="微软雅黑" w:cs="微软雅黑"/>
          <w:sz w:val="44"/>
          <w:szCs w:val="44"/>
        </w:rPr>
        <w:t>医工融合创新与成果孵化十年行动规划（2025—2035）</w:t>
      </w:r>
      <w:bookmarkEnd w:id="0"/>
    </w:p>
    <w:p w14:paraId="1F66D50C">
      <w:pPr>
        <w:jc w:val="center"/>
        <w:rPr>
          <w:rFonts w:hint="eastAsia" w:ascii="宋体" w:hAnsi="宋体" w:eastAsia="宋体" w:cs="宋体"/>
        </w:rPr>
      </w:pPr>
      <w:r>
        <w:rPr>
          <w:rFonts w:hint="eastAsia" w:ascii="宋体" w:hAnsi="宋体" w:eastAsia="宋体" w:cs="宋体"/>
          <w:sz w:val="28"/>
        </w:rPr>
        <w:t>——以具身智能手术机器人、智能胃肠镜与认知型电子病历为核心的体系化发展路线</w:t>
      </w:r>
    </w:p>
    <w:p w14:paraId="01FE04D1">
      <w:pPr>
        <w:rPr>
          <w:rFonts w:hint="eastAsia" w:ascii="宋体" w:hAnsi="宋体" w:eastAsia="宋体" w:cs="宋体"/>
        </w:rPr>
      </w:pPr>
      <w:r>
        <w:rPr>
          <w:rFonts w:hint="eastAsia" w:ascii="宋体" w:hAnsi="宋体" w:eastAsia="宋体" w:cs="宋体"/>
        </w:rPr>
        <w:br w:type="textWrapping"/>
      </w:r>
      <w:r>
        <w:rPr>
          <w:rFonts w:hint="eastAsia" w:ascii="宋体" w:hAnsi="宋体" w:eastAsia="宋体" w:cs="宋体"/>
        </w:rPr>
        <w:br w:type="textWrapping"/>
      </w:r>
      <w:r>
        <w:rPr>
          <w:rFonts w:hint="eastAsia" w:ascii="宋体" w:hAnsi="宋体" w:eastAsia="宋体" w:cs="宋体"/>
        </w:rPr>
        <w:br w:type="textWrapping"/>
      </w:r>
    </w:p>
    <w:p w14:paraId="34C9B4C5">
      <w:pPr>
        <w:jc w:val="right"/>
        <w:rPr>
          <w:rFonts w:hint="eastAsia" w:ascii="宋体" w:hAnsi="宋体" w:eastAsia="宋体" w:cs="宋体"/>
        </w:rPr>
      </w:pPr>
      <w:r>
        <w:rPr>
          <w:rFonts w:hint="eastAsia" w:ascii="宋体" w:hAnsi="宋体" w:eastAsia="宋体" w:cs="宋体"/>
        </w:rPr>
        <w:t>编制单位：巴彦淖尔市医院胃肠外科</w:t>
      </w:r>
      <w:r>
        <w:rPr>
          <w:rFonts w:hint="eastAsia" w:ascii="宋体" w:hAnsi="宋体" w:eastAsia="宋体" w:cs="宋体"/>
        </w:rPr>
        <w:br w:type="textWrapping"/>
      </w:r>
      <w:r>
        <w:rPr>
          <w:rFonts w:hint="eastAsia" w:ascii="宋体" w:hAnsi="宋体" w:eastAsia="宋体" w:cs="宋体"/>
        </w:rPr>
        <w:t>负责人：王腾祺</w:t>
      </w:r>
      <w:r>
        <w:rPr>
          <w:rFonts w:hint="eastAsia" w:ascii="宋体" w:hAnsi="宋体" w:eastAsia="宋体" w:cs="宋体"/>
        </w:rPr>
        <w:br w:type="textWrapping"/>
      </w:r>
      <w:r>
        <w:rPr>
          <w:rFonts w:hint="eastAsia" w:ascii="宋体" w:hAnsi="宋体" w:eastAsia="宋体" w:cs="宋体"/>
        </w:rPr>
        <w:t>日期：2025年11月</w:t>
      </w:r>
    </w:p>
    <w:p w14:paraId="4A6F277C">
      <w:r>
        <w:br w:type="page"/>
      </w:r>
    </w:p>
    <w:p w14:paraId="6C43548C">
      <w:pPr>
        <w:pStyle w:val="4"/>
        <w:bidi w:val="0"/>
        <w:rPr>
          <w:rFonts w:hint="eastAsia" w:ascii="黑体" w:hAnsi="黑体" w:eastAsia="黑体" w:cs="黑体"/>
        </w:rPr>
      </w:pPr>
      <w:r>
        <w:rPr>
          <w:rFonts w:hint="eastAsia" w:ascii="黑体" w:hAnsi="黑体" w:eastAsia="黑体" w:cs="黑体"/>
        </w:rPr>
        <w:t>目录</w:t>
      </w:r>
    </w:p>
    <w:p w14:paraId="7025B6C5">
      <w:pPr>
        <w:rPr>
          <w:rFonts w:asciiTheme="minorHAnsi" w:hAnsiTheme="minorHAnsi" w:eastAsiaTheme="minorEastAsia" w:cstheme="minorBidi"/>
          <w:sz w:val="22"/>
          <w:szCs w:val="22"/>
          <w:lang w:val="en-US" w:eastAsia="en-US" w:bidi="ar-SA"/>
        </w:rPr>
      </w:pPr>
    </w:p>
    <w:p w14:paraId="44159B95">
      <w:pPr>
        <w:numPr>
          <w:ilvl w:val="0"/>
          <w:numId w:val="7"/>
        </w:numPr>
        <w:bidi w:val="0"/>
        <w:ind w:left="0" w:leftChars="0" w:firstLine="420" w:firstLineChars="0"/>
        <w:rPr>
          <w:rFonts w:hint="eastAsia" w:ascii="仿宋" w:hAnsi="仿宋" w:eastAsia="仿宋" w:cs="仿宋"/>
          <w:sz w:val="24"/>
          <w:szCs w:val="24"/>
        </w:rPr>
      </w:pPr>
      <w:r>
        <w:rPr>
          <w:rFonts w:hint="eastAsia" w:ascii="仿宋" w:hAnsi="仿宋" w:eastAsia="仿宋" w:cs="仿宋"/>
          <w:sz w:val="24"/>
          <w:szCs w:val="24"/>
        </w:rPr>
        <w:t>发展愿景与阶段目标 .......................................... 1</w:t>
      </w:r>
    </w:p>
    <w:p w14:paraId="2CCBB81F">
      <w:pPr>
        <w:numPr>
          <w:ilvl w:val="0"/>
          <w:numId w:val="7"/>
        </w:numPr>
        <w:bidi w:val="0"/>
        <w:ind w:left="0" w:leftChars="0" w:firstLine="420" w:firstLineChars="0"/>
        <w:rPr>
          <w:rFonts w:hint="eastAsia" w:ascii="仿宋" w:hAnsi="仿宋" w:eastAsia="仿宋" w:cs="仿宋"/>
          <w:sz w:val="24"/>
          <w:szCs w:val="24"/>
        </w:rPr>
      </w:pPr>
      <w:r>
        <w:rPr>
          <w:rFonts w:hint="eastAsia" w:ascii="仿宋" w:hAnsi="仿宋" w:eastAsia="仿宋" w:cs="仿宋"/>
          <w:sz w:val="24"/>
          <w:szCs w:val="24"/>
        </w:rPr>
        <w:t>起步阶段任务（2025–2027） ................................... 4</w:t>
      </w:r>
    </w:p>
    <w:p w14:paraId="22D091BD">
      <w:pPr>
        <w:numPr>
          <w:ilvl w:val="0"/>
          <w:numId w:val="7"/>
        </w:numPr>
        <w:bidi w:val="0"/>
        <w:ind w:left="0" w:leftChars="0" w:firstLine="420" w:firstLineChars="0"/>
        <w:rPr>
          <w:rFonts w:hint="eastAsia" w:ascii="仿宋" w:hAnsi="仿宋" w:eastAsia="仿宋" w:cs="仿宋"/>
          <w:sz w:val="24"/>
          <w:szCs w:val="24"/>
        </w:rPr>
      </w:pPr>
      <w:r>
        <w:rPr>
          <w:rFonts w:hint="eastAsia" w:ascii="仿宋" w:hAnsi="仿宋" w:eastAsia="仿宋" w:cs="仿宋"/>
          <w:sz w:val="24"/>
          <w:szCs w:val="24"/>
        </w:rPr>
        <w:t>中期推进策略（2028–2030） ................................... 7</w:t>
      </w:r>
    </w:p>
    <w:p w14:paraId="096302D9">
      <w:pPr>
        <w:numPr>
          <w:ilvl w:val="0"/>
          <w:numId w:val="7"/>
        </w:numPr>
        <w:bidi w:val="0"/>
        <w:ind w:left="0" w:leftChars="0" w:firstLine="420" w:firstLineChars="0"/>
        <w:rPr>
          <w:rFonts w:hint="eastAsia" w:ascii="仿宋" w:hAnsi="仿宋" w:eastAsia="仿宋" w:cs="仿宋"/>
          <w:sz w:val="24"/>
          <w:szCs w:val="24"/>
        </w:rPr>
      </w:pPr>
      <w:r>
        <w:rPr>
          <w:rFonts w:hint="eastAsia" w:ascii="仿宋" w:hAnsi="仿宋" w:eastAsia="仿宋" w:cs="仿宋"/>
          <w:sz w:val="24"/>
          <w:szCs w:val="24"/>
        </w:rPr>
        <w:t>远期布局与公司化发展（2031–2035） ........................ 10</w:t>
      </w:r>
    </w:p>
    <w:p w14:paraId="1EA29130">
      <w:pPr>
        <w:numPr>
          <w:ilvl w:val="0"/>
          <w:numId w:val="7"/>
        </w:numPr>
        <w:bidi w:val="0"/>
        <w:ind w:left="0" w:leftChars="0" w:firstLine="420" w:firstLineChars="0"/>
        <w:rPr>
          <w:rFonts w:hint="eastAsia" w:ascii="仿宋" w:hAnsi="仿宋" w:eastAsia="仿宋" w:cs="仿宋"/>
          <w:sz w:val="24"/>
          <w:szCs w:val="24"/>
        </w:rPr>
      </w:pPr>
      <w:r>
        <w:rPr>
          <w:rFonts w:hint="eastAsia" w:ascii="仿宋" w:hAnsi="仿宋" w:eastAsia="仿宋" w:cs="仿宋"/>
          <w:sz w:val="24"/>
          <w:szCs w:val="24"/>
        </w:rPr>
        <w:t>实施机制与保障措施 ......................................... 13</w:t>
      </w:r>
    </w:p>
    <w:p w14:paraId="6BD86DB7">
      <w:pPr>
        <w:bidi w:val="0"/>
        <w:rPr>
          <w:rFonts w:hint="eastAsia" w:ascii="华文楷体" w:hAnsi="华文楷体" w:eastAsia="华文楷体" w:cs="华文楷体"/>
          <w:sz w:val="24"/>
          <w:szCs w:val="24"/>
        </w:rPr>
      </w:pPr>
      <w:r>
        <w:rPr>
          <w:rFonts w:hint="eastAsia" w:ascii="华文楷体" w:hAnsi="华文楷体" w:eastAsia="华文楷体" w:cs="华文楷体"/>
          <w:b/>
          <w:bCs/>
          <w:sz w:val="24"/>
          <w:szCs w:val="24"/>
          <w:lang w:val="en-US" w:eastAsia="zh-CN"/>
        </w:rPr>
        <w:t xml:space="preserve">附录 </w:t>
      </w:r>
      <w:r>
        <w:rPr>
          <w:rFonts w:hint="eastAsia" w:ascii="华文楷体" w:hAnsi="华文楷体" w:eastAsia="华文楷体" w:cs="华文楷体"/>
          <w:sz w:val="24"/>
          <w:szCs w:val="24"/>
        </w:rPr>
        <w:t>具身智能医疗科技公司人才体系与人脉储备规划（2025–2035）</w:t>
      </w:r>
    </w:p>
    <w:p w14:paraId="7273C57F">
      <w:pPr>
        <w:pStyle w:val="31"/>
        <w:keepNext w:val="0"/>
        <w:keepLines w:val="0"/>
        <w:widowControl/>
        <w:suppressLineNumbers w:val="0"/>
        <w:rPr>
          <w:rFonts w:hint="eastAsia"/>
          <w:lang w:val="en-US" w:eastAsia="zh-CN"/>
        </w:rPr>
      </w:pPr>
    </w:p>
    <w:p w14:paraId="2F185EA9">
      <w:pPr>
        <w:pStyle w:val="31"/>
        <w:keepNext w:val="0"/>
        <w:keepLines w:val="0"/>
        <w:widowControl/>
        <w:suppressLineNumbers w:val="0"/>
        <w:rPr>
          <w:rStyle w:val="141"/>
        </w:rPr>
        <w:sectPr>
          <w:headerReference r:id="rId5" w:type="default"/>
          <w:footerReference r:id="rId6" w:type="default"/>
          <w:pgSz w:w="12240" w:h="15840"/>
          <w:pgMar w:top="1440" w:right="1800" w:bottom="1440" w:left="1800" w:header="720" w:footer="720" w:gutter="0"/>
          <w:pgNumType w:fmt="decimal" w:start="1"/>
          <w:cols w:space="720" w:num="1"/>
          <w:docGrid w:linePitch="360" w:charSpace="0"/>
        </w:sectPr>
      </w:pPr>
    </w:p>
    <w:p w14:paraId="20E54C1B">
      <w:pPr>
        <w:pStyle w:val="31"/>
        <w:keepNext w:val="0"/>
        <w:keepLines w:val="0"/>
        <w:widowControl/>
        <w:suppressLineNumbers w:val="0"/>
        <w:ind w:firstLine="520" w:firstLineChars="200"/>
        <w:rPr>
          <w:rStyle w:val="141"/>
          <w:rFonts w:hint="eastAsia" w:ascii="宋体" w:hAnsi="宋体" w:eastAsia="宋体" w:cs="宋体"/>
          <w:b w:val="0"/>
          <w:bCs w:val="0"/>
          <w:color w:val="auto"/>
        </w:rPr>
      </w:pPr>
      <w:r>
        <w:rPr>
          <w:rStyle w:val="141"/>
          <w:rFonts w:hint="eastAsia" w:ascii="宋体" w:hAnsi="宋体" w:eastAsia="宋体" w:cs="宋体"/>
          <w:b w:val="0"/>
          <w:bCs w:val="0"/>
          <w:color w:val="auto"/>
        </w:rPr>
        <w:t>本行动规划依据《巴彦淖尔市医院胃肠外科科研与学科建设十年规划纲</w:t>
      </w:r>
      <w:bookmarkStart w:id="1" w:name="_GoBack"/>
      <w:r>
        <w:rPr>
          <w:rStyle w:val="141"/>
          <w:rFonts w:hint="eastAsia" w:ascii="宋体" w:hAnsi="宋体" w:eastAsia="宋体" w:cs="宋体"/>
          <w:b w:val="0"/>
          <w:bCs w:val="0"/>
          <w:color w:val="auto"/>
        </w:rPr>
        <w:t>要（2025–2035）》制定，围绕学科战略目标，对医工融合平台、技术攻关、</w:t>
      </w:r>
      <w:bookmarkEnd w:id="1"/>
      <w:r>
        <w:rPr>
          <w:rStyle w:val="141"/>
          <w:rFonts w:hint="eastAsia" w:ascii="宋体" w:hAnsi="宋体" w:eastAsia="宋体" w:cs="宋体"/>
          <w:b w:val="0"/>
          <w:bCs w:val="0"/>
          <w:color w:val="auto"/>
        </w:rPr>
        <w:t>成果孵化与转化路径进行系统部署，旨在形成可持续、可评估的医工交叉创新体系，支撑胃肠外科高质量发展。</w:t>
      </w:r>
    </w:p>
    <w:p w14:paraId="702527FC">
      <w:pPr>
        <w:pStyle w:val="31"/>
        <w:keepNext w:val="0"/>
        <w:keepLines w:val="0"/>
        <w:widowControl/>
        <w:suppressLineNumbers w:val="0"/>
        <w:rPr>
          <w:rFonts w:hint="eastAsia" w:ascii="宋体" w:hAnsi="宋体" w:eastAsia="宋体" w:cs="宋体"/>
        </w:rPr>
      </w:pPr>
      <w:r>
        <w:rPr>
          <w:rStyle w:val="141"/>
          <w:rFonts w:hint="eastAsia" w:ascii="黑体" w:hAnsi="黑体" w:eastAsia="黑体" w:cs="黑体"/>
        </w:rPr>
        <w:t>一、发展愿景与阶段目标</w:t>
      </w:r>
      <w:r>
        <w:rPr>
          <w:rFonts w:hint="eastAsia" w:ascii="宋体" w:hAnsi="宋体" w:eastAsia="宋体" w:cs="宋体"/>
        </w:rPr>
        <w:br w:type="textWrapping"/>
      </w:r>
      <w:r>
        <w:rPr>
          <w:rFonts w:hint="eastAsia" w:ascii="宋体" w:hAnsi="宋体" w:eastAsia="宋体" w:cs="宋体"/>
          <w:b/>
          <w:bCs/>
        </w:rPr>
        <w:t>（一）发展愿景：</w:t>
      </w:r>
      <w:r>
        <w:rPr>
          <w:rFonts w:hint="eastAsia" w:ascii="宋体" w:hAnsi="宋体" w:eastAsia="宋体" w:cs="宋体"/>
        </w:rPr>
        <w:t>依托巴彦淖尔市医院的临床优势和区域医工融合创新需求，本规划旨在推动医院从单一临床诊疗中心迈向临床—科研—产业三位一体的创新中心。围绕“以医院为平台、以科研项目为起点、以产品转化为导向、以公司化运营为路径”的总体思路，构建具备全链条闭环特征的医工融合科技创新转化体系。重点聚焦“具身智能+认知医学”双主线，打造以腹腔镜手术机器人、机器人胃肠镜、认知型电子病历（C-EMR）为核心的高质量医工融合创新平台。同时，围绕上述核心方向同步布局外围研发领域，统筹推进便携式闭环排便装置、可穿戴监测设备、智能手术床等智能医疗装备的研发与应用，不断完善医院的医疗创新生态体系。</w:t>
      </w:r>
    </w:p>
    <w:p w14:paraId="3F11A25E">
      <w:pPr>
        <w:pStyle w:val="31"/>
        <w:keepNext w:val="0"/>
        <w:keepLines w:val="0"/>
        <w:widowControl/>
        <w:suppressLineNumbers w:val="0"/>
        <w:rPr>
          <w:rFonts w:hint="eastAsia" w:ascii="宋体" w:hAnsi="宋体" w:eastAsia="宋体" w:cs="宋体"/>
        </w:rPr>
      </w:pPr>
      <w:r>
        <w:rPr>
          <w:rFonts w:hint="eastAsia" w:ascii="宋体" w:hAnsi="宋体" w:eastAsia="宋体" w:cs="宋体"/>
          <w:b/>
          <w:bCs/>
        </w:rPr>
        <w:t>（二）阶段目标：</w:t>
      </w:r>
      <w:r>
        <w:rPr>
          <w:rFonts w:hint="eastAsia" w:ascii="宋体" w:hAnsi="宋体" w:eastAsia="宋体" w:cs="宋体"/>
        </w:rPr>
        <w:t>未来十年总体分为“三阶段”逐步推进，每阶段明确主要目标和标志成果：</w:t>
      </w:r>
    </w:p>
    <w:p w14:paraId="1A072CBA">
      <w:pPr>
        <w:pStyle w:val="31"/>
        <w:keepNext w:val="0"/>
        <w:keepLines w:val="0"/>
        <w:widowControl/>
        <w:numPr>
          <w:ilvl w:val="0"/>
          <w:numId w:val="8"/>
        </w:numPr>
        <w:suppressLineNumbers w:val="0"/>
        <w:ind w:left="420" w:leftChars="0" w:hanging="420" w:firstLineChars="0"/>
        <w:rPr>
          <w:rFonts w:hint="eastAsia" w:ascii="宋体" w:hAnsi="宋体" w:eastAsia="宋体" w:cs="宋体"/>
        </w:rPr>
      </w:pPr>
      <w:r>
        <w:rPr>
          <w:rFonts w:hint="eastAsia" w:ascii="宋体" w:hAnsi="宋体" w:eastAsia="宋体" w:cs="宋体"/>
          <w:b/>
          <w:bCs/>
        </w:rPr>
        <w:t>起步阶段</w:t>
      </w:r>
      <w:r>
        <w:rPr>
          <w:rFonts w:hint="eastAsia" w:ascii="宋体" w:hAnsi="宋体" w:eastAsia="宋体" w:cs="宋体"/>
        </w:rPr>
        <w:t>（2025–2027）：主要目标是建立专业团队，启动重点科研项目，并完成核心技术的原理验证和初步原型设计。标志性成果包括形成院内跨学科核心团队与稳定的外部合作网络，立项3–5项医工结合科研课题，完成可行性研究报告撰写并取得首批专利成果，为后续研发奠定基础。</w:t>
      </w:r>
    </w:p>
    <w:p w14:paraId="4D2E1469">
      <w:pPr>
        <w:pStyle w:val="31"/>
        <w:keepNext w:val="0"/>
        <w:keepLines w:val="0"/>
        <w:widowControl/>
        <w:numPr>
          <w:ilvl w:val="0"/>
          <w:numId w:val="8"/>
        </w:numPr>
        <w:suppressLineNumbers w:val="0"/>
        <w:ind w:left="420" w:leftChars="0" w:hanging="420" w:firstLineChars="0"/>
        <w:rPr>
          <w:rFonts w:hint="eastAsia" w:ascii="宋体" w:hAnsi="宋体" w:eastAsia="宋体" w:cs="宋体"/>
        </w:rPr>
      </w:pPr>
      <w:r>
        <w:rPr>
          <w:rFonts w:hint="eastAsia" w:ascii="宋体" w:hAnsi="宋体" w:eastAsia="宋体" w:cs="宋体"/>
          <w:b/>
          <w:bCs/>
        </w:rPr>
        <w:t>中期阶段</w:t>
      </w:r>
      <w:r>
        <w:rPr>
          <w:rFonts w:hint="eastAsia" w:ascii="宋体" w:hAnsi="宋体" w:eastAsia="宋体" w:cs="宋体"/>
        </w:rPr>
        <w:t>（2028–2030）：主要目标是完成核心系统样机研制与临床前验证，并适时启动公司化运作。标志性成果包括研制成功具身智能腹腔镜手术机器人和机器人胃肠镜样机，认知型电子病历平台（C-EMR）完成Beta版开发并在院内试运行，为成果转化奠定坚实基础；同时筹备成立“具身智能医疗科技有限公司”，逐步搭建产学研一体的转化平台。</w:t>
      </w:r>
    </w:p>
    <w:p w14:paraId="4CBF45B0">
      <w:pPr>
        <w:pStyle w:val="31"/>
        <w:keepNext w:val="0"/>
        <w:keepLines w:val="0"/>
        <w:widowControl/>
        <w:numPr>
          <w:ilvl w:val="0"/>
          <w:numId w:val="8"/>
        </w:numPr>
        <w:suppressLineNumbers w:val="0"/>
        <w:ind w:left="420" w:leftChars="0" w:hanging="420" w:firstLineChars="0"/>
        <w:rPr>
          <w:rFonts w:hint="eastAsia" w:ascii="宋体" w:hAnsi="宋体" w:eastAsia="宋体" w:cs="宋体"/>
        </w:rPr>
      </w:pPr>
      <w:r>
        <w:rPr>
          <w:rFonts w:hint="eastAsia" w:ascii="宋体" w:hAnsi="宋体" w:eastAsia="宋体" w:cs="宋体"/>
          <w:b/>
          <w:bCs/>
        </w:rPr>
        <w:t>远期阶段</w:t>
      </w:r>
      <w:r>
        <w:rPr>
          <w:rFonts w:hint="eastAsia" w:ascii="宋体" w:hAnsi="宋体" w:eastAsia="宋体" w:cs="宋体"/>
        </w:rPr>
        <w:t>（2031–2035）：主要目标是实现产品注册审批、规模化产业转化及区域布局。标志性成果包括完成腹腔镜手术机器人、智能胃肠镜等核心产品的医疗器械注册认证并投入临床应用；正式运营“具身智能医疗科技有限公司”，构建可持续的科研—产业闭环生态，实现技术成果从医院走向产业的良性循环。同时，公司在这一阶段不仅承担技术成果落地，还全面具备平台运营能力，尤其是对C-EMR云服务平台的持续运营与迭代更新能力，使之成为区域数字医疗的重要支撑。</w:t>
      </w:r>
    </w:p>
    <w:p w14:paraId="68ACB3FB">
      <w:pPr>
        <w:pStyle w:val="31"/>
        <w:keepNext w:val="0"/>
        <w:keepLines w:val="0"/>
        <w:widowControl/>
        <w:suppressLineNumbers w:val="0"/>
        <w:rPr>
          <w:rFonts w:hint="eastAsia" w:ascii="宋体" w:hAnsi="宋体" w:eastAsia="宋体" w:cs="宋体"/>
        </w:rPr>
      </w:pPr>
      <w:r>
        <w:rPr>
          <w:rStyle w:val="141"/>
          <w:rFonts w:hint="eastAsia" w:ascii="黑体" w:hAnsi="黑体" w:eastAsia="黑体" w:cs="黑体"/>
        </w:rPr>
        <w:t>二、起步阶段任务（2025–2027）</w:t>
      </w:r>
      <w:r>
        <w:rPr>
          <w:rFonts w:hint="eastAsia" w:ascii="宋体" w:hAnsi="宋体" w:eastAsia="宋体" w:cs="宋体"/>
        </w:rPr>
        <w:br w:type="textWrapping"/>
      </w:r>
      <w:r>
        <w:rPr>
          <w:rFonts w:hint="eastAsia" w:ascii="宋体" w:hAnsi="宋体" w:eastAsia="宋体" w:cs="宋体"/>
          <w:b/>
          <w:bCs/>
        </w:rPr>
        <w:t>（一）总体策略：</w:t>
      </w:r>
      <w:r>
        <w:rPr>
          <w:rFonts w:hint="eastAsia" w:ascii="宋体" w:hAnsi="宋体" w:eastAsia="宋体" w:cs="宋体"/>
        </w:rPr>
        <w:t>起步阶段坚持“以医院为平台、以科研为牵引、以产品为导向、以转化为目标”的策略方针。以医院临床需求为牵引，构筑三大支柱：</w:t>
      </w:r>
      <w:r>
        <w:rPr>
          <w:rStyle w:val="135"/>
          <w:rFonts w:hint="eastAsia" w:ascii="宋体" w:hAnsi="宋体" w:eastAsia="宋体" w:cs="宋体"/>
        </w:rPr>
        <w:t>团队体系建设、科研项目驱动、成果孵化布局</w:t>
      </w:r>
      <w:r>
        <w:rPr>
          <w:rFonts w:hint="eastAsia" w:ascii="宋体" w:hAnsi="宋体" w:eastAsia="宋体" w:cs="宋体"/>
        </w:rPr>
        <w:t>。通过院内外多学科团队协同攻关，依托各级科研课题加速技术成熟，打通专利—产品—公司的转化通道，为后续发展奠定坚实基础。</w:t>
      </w:r>
    </w:p>
    <w:p w14:paraId="749D5066">
      <w:pPr>
        <w:pStyle w:val="31"/>
        <w:keepNext w:val="0"/>
        <w:keepLines w:val="0"/>
        <w:widowControl/>
        <w:suppressLineNumbers w:val="0"/>
        <w:rPr>
          <w:rFonts w:hint="eastAsia" w:ascii="宋体" w:hAnsi="宋体" w:eastAsia="宋体" w:cs="宋体"/>
        </w:rPr>
      </w:pPr>
      <w:r>
        <w:rPr>
          <w:rFonts w:hint="eastAsia" w:ascii="宋体" w:hAnsi="宋体" w:eastAsia="宋体" w:cs="宋体"/>
          <w:b/>
          <w:bCs/>
        </w:rPr>
        <w:t>（二）团队建设：</w:t>
      </w:r>
      <w:r>
        <w:rPr>
          <w:rFonts w:hint="eastAsia" w:ascii="宋体" w:hAnsi="宋体" w:eastAsia="宋体" w:cs="宋体"/>
        </w:rPr>
        <w:t>组建院内跨科室的医工融合研发核心团队，并联动院外合作力量。</w:t>
      </w:r>
    </w:p>
    <w:p w14:paraId="591C2089">
      <w:pPr>
        <w:pStyle w:val="31"/>
        <w:keepNext w:val="0"/>
        <w:keepLines w:val="0"/>
        <w:widowControl/>
        <w:numPr>
          <w:ilvl w:val="0"/>
          <w:numId w:val="9"/>
        </w:numPr>
        <w:suppressLineNumbers w:val="0"/>
        <w:ind w:left="420" w:leftChars="0" w:hanging="420" w:firstLineChars="0"/>
        <w:rPr>
          <w:rFonts w:hint="eastAsia" w:ascii="宋体" w:hAnsi="宋体" w:eastAsia="宋体" w:cs="宋体"/>
        </w:rPr>
      </w:pPr>
      <w:r>
        <w:rPr>
          <w:rFonts w:hint="eastAsia" w:ascii="宋体" w:hAnsi="宋体" w:eastAsia="宋体" w:cs="宋体"/>
          <w:b/>
          <w:bCs/>
        </w:rPr>
        <w:t>院内核心团队：</w:t>
      </w:r>
      <w:r>
        <w:rPr>
          <w:rFonts w:hint="eastAsia" w:ascii="宋体" w:hAnsi="宋体" w:eastAsia="宋体" w:cs="宋体"/>
        </w:rPr>
        <w:t>整合胃肠外科、</w:t>
      </w:r>
      <w:r>
        <w:rPr>
          <w:rFonts w:hint="eastAsia" w:ascii="宋体" w:hAnsi="宋体" w:eastAsia="宋体" w:cs="宋体"/>
          <w:lang w:val="en-US" w:eastAsia="zh-CN"/>
        </w:rPr>
        <w:t>手术室、</w:t>
      </w:r>
      <w:r>
        <w:rPr>
          <w:rFonts w:hint="eastAsia" w:ascii="宋体" w:hAnsi="宋体" w:eastAsia="宋体" w:cs="宋体"/>
        </w:rPr>
        <w:t>内镜中心、医学工程、信息工程等科室力量，组建临床医生与工程技术人员融合的研发团队。各子团队各司其职，协同攻关关键技术课题。例如，胃肠外科临床团队负责提炼临床需求并进行术中验证；</w:t>
      </w:r>
      <w:r>
        <w:rPr>
          <w:rFonts w:hint="eastAsia" w:ascii="宋体" w:hAnsi="宋体" w:eastAsia="宋体" w:cs="宋体"/>
          <w:lang w:val="en-US" w:eastAsia="zh-CN"/>
        </w:rPr>
        <w:t>手术室、</w:t>
      </w:r>
      <w:r>
        <w:rPr>
          <w:rFonts w:hint="eastAsia" w:ascii="宋体" w:hAnsi="宋体" w:eastAsia="宋体" w:cs="宋体"/>
        </w:rPr>
        <w:t>内镜中心团队负责智能</w:t>
      </w:r>
      <w:r>
        <w:rPr>
          <w:rFonts w:hint="eastAsia" w:ascii="宋体" w:hAnsi="宋体" w:eastAsia="宋体" w:cs="宋体"/>
          <w:lang w:val="en-US" w:eastAsia="zh-CN"/>
        </w:rPr>
        <w:t>腹腔镜、</w:t>
      </w:r>
      <w:r>
        <w:rPr>
          <w:rFonts w:hint="eastAsia" w:ascii="宋体" w:hAnsi="宋体" w:eastAsia="宋体" w:cs="宋体"/>
        </w:rPr>
        <w:t>胃肠镜的临床反馈与改进；医学工程技术团队负责手术设备机构设计与控制实现；信息工程科算法团队负责人工智能算法研发与C-EMR数据架构设计等。通过明确分工与合作，实现临床与工程的紧密结合。</w:t>
      </w:r>
    </w:p>
    <w:p w14:paraId="6A4D57A6">
      <w:pPr>
        <w:pStyle w:val="31"/>
        <w:keepNext w:val="0"/>
        <w:keepLines w:val="0"/>
        <w:widowControl/>
        <w:numPr>
          <w:ilvl w:val="0"/>
          <w:numId w:val="9"/>
        </w:numPr>
        <w:suppressLineNumbers w:val="0"/>
        <w:ind w:left="420" w:leftChars="0" w:hanging="420" w:firstLineChars="0"/>
        <w:rPr>
          <w:rFonts w:hint="eastAsia" w:ascii="宋体" w:hAnsi="宋体" w:eastAsia="宋体" w:cs="宋体"/>
        </w:rPr>
      </w:pPr>
      <w:r>
        <w:rPr>
          <w:rFonts w:hint="eastAsia" w:ascii="宋体" w:hAnsi="宋体" w:eastAsia="宋体" w:cs="宋体"/>
          <w:b/>
          <w:bCs/>
        </w:rPr>
        <w:t>院外合作团队：</w:t>
      </w:r>
      <w:r>
        <w:rPr>
          <w:rFonts w:hint="eastAsia" w:ascii="宋体" w:hAnsi="宋体" w:eastAsia="宋体" w:cs="宋体"/>
        </w:rPr>
        <w:t>依托高校和科研机构的优势资源，构建稳定的外部协作网络。重点与国内一流高校研究团队合作，如与西安交通大学在协作式手术机器人控制和力反馈领域开展联合攻关，与清华大学智能内镜研发团队合作获取在智能传感和软体机械结构方面的支持，并邀请相关领域的国家级专家担任技术顾问。通过签订合作协议明确各方分工和知识产权归属，形成“院内核心团队 + 院外专家网络”的联合研发格局。目标在2025年底前初步形成院内约10人的核心研发团队和院外约5名专家的合作网络。</w:t>
      </w:r>
    </w:p>
    <w:p w14:paraId="571B4D46">
      <w:pPr>
        <w:pStyle w:val="31"/>
        <w:keepNext w:val="0"/>
        <w:keepLines w:val="0"/>
        <w:widowControl/>
        <w:numPr>
          <w:ilvl w:val="0"/>
          <w:numId w:val="9"/>
        </w:numPr>
        <w:suppressLineNumbers w:val="0"/>
        <w:ind w:left="420" w:leftChars="0" w:hanging="420" w:firstLineChars="0"/>
        <w:rPr>
          <w:rFonts w:hint="eastAsia" w:ascii="宋体" w:hAnsi="宋体" w:eastAsia="宋体" w:cs="宋体"/>
        </w:rPr>
      </w:pPr>
      <w:r>
        <w:rPr>
          <w:rFonts w:hint="eastAsia" w:ascii="宋体" w:hAnsi="宋体" w:eastAsia="宋体" w:cs="宋体"/>
          <w:b/>
          <w:bCs/>
        </w:rPr>
        <w:t>人才引进与培养：</w:t>
      </w:r>
      <w:r>
        <w:rPr>
          <w:rFonts w:hint="eastAsia" w:ascii="宋体" w:hAnsi="宋体" w:eastAsia="宋体" w:cs="宋体"/>
        </w:rPr>
        <w:t>面向项目实施需求，制定人才扩充计划，逐步引进各关键领域专业人才，夯实团队实力。拟重点引进/培养以下方向的人才：</w:t>
      </w:r>
    </w:p>
    <w:p w14:paraId="6E911FE8">
      <w:pPr>
        <w:pStyle w:val="31"/>
        <w:keepNext w:val="0"/>
        <w:keepLines w:val="0"/>
        <w:widowControl/>
        <w:numPr>
          <w:ilvl w:val="0"/>
          <w:numId w:val="10"/>
        </w:numPr>
        <w:suppressLineNumbers w:val="0"/>
        <w:ind w:left="420" w:leftChars="0" w:hanging="420" w:firstLineChars="0"/>
        <w:rPr>
          <w:rFonts w:hint="eastAsia" w:ascii="宋体" w:hAnsi="宋体" w:eastAsia="宋体" w:cs="宋体"/>
        </w:rPr>
      </w:pPr>
      <w:r>
        <w:rPr>
          <w:rFonts w:hint="eastAsia" w:ascii="宋体" w:hAnsi="宋体" w:eastAsia="宋体" w:cs="宋体"/>
          <w:b/>
          <w:bCs/>
        </w:rPr>
        <w:t>控制工程领域：</w:t>
      </w:r>
      <w:r>
        <w:rPr>
          <w:rFonts w:hint="eastAsia" w:ascii="宋体" w:hAnsi="宋体" w:eastAsia="宋体" w:cs="宋体"/>
        </w:rPr>
        <w:t>招聘控制算法和伺服控制专家，负责协作式机械臂的运动控制算法开发与调试。</w:t>
      </w:r>
    </w:p>
    <w:p w14:paraId="2223B0D5">
      <w:pPr>
        <w:pStyle w:val="31"/>
        <w:keepNext w:val="0"/>
        <w:keepLines w:val="0"/>
        <w:widowControl/>
        <w:numPr>
          <w:ilvl w:val="0"/>
          <w:numId w:val="10"/>
        </w:numPr>
        <w:suppressLineNumbers w:val="0"/>
        <w:ind w:left="420" w:leftChars="0" w:hanging="420" w:firstLineChars="0"/>
        <w:rPr>
          <w:rFonts w:hint="eastAsia" w:ascii="宋体" w:hAnsi="宋体" w:eastAsia="宋体" w:cs="宋体"/>
        </w:rPr>
      </w:pPr>
      <w:r>
        <w:rPr>
          <w:rFonts w:hint="eastAsia" w:ascii="宋体" w:hAnsi="宋体" w:eastAsia="宋体" w:cs="宋体"/>
          <w:b/>
          <w:bCs/>
        </w:rPr>
        <w:t>嵌入式与传感领域：</w:t>
      </w:r>
      <w:r>
        <w:rPr>
          <w:rFonts w:hint="eastAsia" w:ascii="宋体" w:hAnsi="宋体" w:eastAsia="宋体" w:cs="宋体"/>
        </w:rPr>
        <w:t>引进硬件电路设计和传感技术人才，负责信号采集模块、电机驱动及控制单元的研发。</w:t>
      </w:r>
    </w:p>
    <w:p w14:paraId="4F15FD4F">
      <w:pPr>
        <w:pStyle w:val="31"/>
        <w:keepNext w:val="0"/>
        <w:keepLines w:val="0"/>
        <w:widowControl/>
        <w:numPr>
          <w:ilvl w:val="0"/>
          <w:numId w:val="10"/>
        </w:numPr>
        <w:suppressLineNumbers w:val="0"/>
        <w:ind w:left="420" w:leftChars="0" w:hanging="420" w:firstLineChars="0"/>
        <w:rPr>
          <w:rFonts w:hint="eastAsia" w:ascii="宋体" w:hAnsi="宋体" w:eastAsia="宋体" w:cs="宋体"/>
        </w:rPr>
      </w:pPr>
      <w:r>
        <w:rPr>
          <w:rFonts w:hint="eastAsia" w:ascii="宋体" w:hAnsi="宋体" w:eastAsia="宋体" w:cs="宋体"/>
          <w:b/>
          <w:bCs/>
        </w:rPr>
        <w:t>人工智能与计算机视觉领域：</w:t>
      </w:r>
      <w:r>
        <w:rPr>
          <w:rFonts w:hint="eastAsia" w:ascii="宋体" w:hAnsi="宋体" w:eastAsia="宋体" w:cs="宋体"/>
        </w:rPr>
        <w:t>引进计算机视觉、机器学习特别是具身智能模型专家，负责手术场景的视觉感知、路径规划、力反馈算法研发。</w:t>
      </w:r>
    </w:p>
    <w:p w14:paraId="3DD9F9AC">
      <w:pPr>
        <w:pStyle w:val="31"/>
        <w:keepNext w:val="0"/>
        <w:keepLines w:val="0"/>
        <w:widowControl/>
        <w:numPr>
          <w:ilvl w:val="0"/>
          <w:numId w:val="10"/>
        </w:numPr>
        <w:suppressLineNumbers w:val="0"/>
        <w:ind w:left="420" w:leftChars="0" w:hanging="420" w:firstLineChars="0"/>
        <w:rPr>
          <w:rFonts w:hint="eastAsia" w:ascii="宋体" w:hAnsi="宋体" w:eastAsia="宋体" w:cs="宋体"/>
        </w:rPr>
      </w:pPr>
      <w:r>
        <w:rPr>
          <w:rFonts w:hint="eastAsia" w:ascii="宋体" w:hAnsi="宋体" w:eastAsia="宋体" w:cs="宋体"/>
          <w:b/>
          <w:bCs/>
        </w:rPr>
        <w:t>生物医学工程与材料领域：</w:t>
      </w:r>
      <w:r>
        <w:rPr>
          <w:rFonts w:hint="eastAsia" w:ascii="宋体" w:hAnsi="宋体" w:eastAsia="宋体" w:cs="宋体"/>
        </w:rPr>
        <w:t>引进医用材料学、精密机械设计人才，优化智能内镜及末端执行器的结构设计与生物相容性。</w:t>
      </w:r>
    </w:p>
    <w:p w14:paraId="43396BD3">
      <w:pPr>
        <w:pStyle w:val="31"/>
        <w:keepNext w:val="0"/>
        <w:keepLines w:val="0"/>
        <w:widowControl/>
        <w:numPr>
          <w:ilvl w:val="0"/>
          <w:numId w:val="10"/>
        </w:numPr>
        <w:suppressLineNumbers w:val="0"/>
        <w:ind w:left="420" w:leftChars="0" w:hanging="420" w:firstLineChars="0"/>
        <w:rPr>
          <w:rFonts w:hint="eastAsia" w:ascii="宋体" w:hAnsi="宋体" w:eastAsia="宋体" w:cs="宋体"/>
        </w:rPr>
      </w:pPr>
      <w:r>
        <w:rPr>
          <w:rFonts w:hint="eastAsia" w:ascii="宋体" w:hAnsi="宋体" w:eastAsia="宋体" w:cs="宋体"/>
          <w:b/>
          <w:bCs/>
        </w:rPr>
        <w:t>医疗器械注册与转化领域：</w:t>
      </w:r>
      <w:r>
        <w:rPr>
          <w:rFonts w:hint="eastAsia" w:ascii="宋体" w:hAnsi="宋体" w:eastAsia="宋体" w:cs="宋体"/>
        </w:rPr>
        <w:t>配备熟悉法规审批和临床试验的人才，负责产品注册申报、伦理审查及临床试验的组织实施。</w:t>
      </w:r>
      <w:r>
        <w:rPr>
          <w:rFonts w:hint="eastAsia" w:ascii="宋体" w:hAnsi="宋体" w:eastAsia="宋体" w:cs="宋体"/>
        </w:rPr>
        <w:br w:type="textWrapping"/>
      </w:r>
      <w:r>
        <w:rPr>
          <w:rFonts w:hint="eastAsia" w:ascii="宋体" w:hAnsi="宋体" w:eastAsia="宋体" w:cs="宋体"/>
          <w:lang w:val="en-US" w:eastAsia="zh-CN"/>
        </w:rPr>
        <w:t xml:space="preserve">    </w:t>
      </w:r>
      <w:r>
        <w:rPr>
          <w:rFonts w:hint="eastAsia" w:ascii="宋体" w:hAnsi="宋体" w:eastAsia="宋体" w:cs="宋体"/>
        </w:rPr>
        <w:t>此外，通过科研带教、学术交流等方式培养院内现有中青年骨干，提升其科研与创新能力，为项目持续实施储备后备力量。</w:t>
      </w:r>
    </w:p>
    <w:p w14:paraId="0EF447EE">
      <w:pPr>
        <w:pStyle w:val="31"/>
        <w:keepNext w:val="0"/>
        <w:keepLines w:val="0"/>
        <w:widowControl/>
        <w:suppressLineNumbers w:val="0"/>
        <w:rPr>
          <w:rFonts w:hint="eastAsia" w:ascii="宋体" w:hAnsi="宋体" w:eastAsia="宋体" w:cs="宋体"/>
        </w:rPr>
      </w:pPr>
      <w:r>
        <w:rPr>
          <w:rFonts w:hint="eastAsia" w:ascii="宋体" w:hAnsi="宋体" w:eastAsia="宋体" w:cs="宋体"/>
          <w:b/>
          <w:bCs/>
        </w:rPr>
        <w:t>（三）外部支撑与合作机制：</w:t>
      </w:r>
      <w:r>
        <w:rPr>
          <w:rFonts w:hint="eastAsia" w:ascii="宋体" w:hAnsi="宋体" w:eastAsia="宋体" w:cs="宋体"/>
        </w:rPr>
        <w:t>建立健全“三层次”院外支撑体系，为项目提供全方位支持：</w:t>
      </w:r>
    </w:p>
    <w:p w14:paraId="1B84F4D4">
      <w:pPr>
        <w:pStyle w:val="31"/>
        <w:keepNext w:val="0"/>
        <w:keepLines w:val="0"/>
        <w:widowControl/>
        <w:numPr>
          <w:ilvl w:val="0"/>
          <w:numId w:val="11"/>
        </w:numPr>
        <w:suppressLineNumbers w:val="0"/>
        <w:ind w:left="420" w:leftChars="0" w:hanging="420" w:firstLineChars="0"/>
        <w:rPr>
          <w:rFonts w:hint="eastAsia" w:ascii="宋体" w:hAnsi="宋体" w:eastAsia="宋体" w:cs="宋体"/>
        </w:rPr>
      </w:pPr>
      <w:r>
        <w:rPr>
          <w:rFonts w:hint="eastAsia" w:ascii="宋体" w:hAnsi="宋体" w:eastAsia="宋体" w:cs="宋体"/>
          <w:b/>
          <w:bCs/>
        </w:rPr>
        <w:t>科研技术支撑：</w:t>
      </w:r>
      <w:r>
        <w:rPr>
          <w:rFonts w:hint="eastAsia" w:ascii="宋体" w:hAnsi="宋体" w:eastAsia="宋体" w:cs="宋体"/>
        </w:rPr>
        <w:t>深化与高校和科研院所的合作，依托西安交通大学机械工程学院、清华大学生物医学工程系、哈尔滨工业大学自动化学院等单位的学术力量，在手术机器人控制、智能内镜感知等核心技术上获得前沿指导和技术支持。</w:t>
      </w:r>
    </w:p>
    <w:p w14:paraId="14674072">
      <w:pPr>
        <w:pStyle w:val="31"/>
        <w:keepNext w:val="0"/>
        <w:keepLines w:val="0"/>
        <w:widowControl/>
        <w:numPr>
          <w:ilvl w:val="0"/>
          <w:numId w:val="11"/>
        </w:numPr>
        <w:suppressLineNumbers w:val="0"/>
        <w:ind w:left="420" w:leftChars="0" w:hanging="420" w:firstLineChars="0"/>
        <w:rPr>
          <w:rFonts w:hint="eastAsia" w:ascii="宋体" w:hAnsi="宋体" w:eastAsia="宋体" w:cs="宋体"/>
        </w:rPr>
      </w:pPr>
      <w:r>
        <w:rPr>
          <w:rFonts w:hint="eastAsia" w:ascii="宋体" w:hAnsi="宋体" w:eastAsia="宋体" w:cs="宋体"/>
          <w:b/>
          <w:bCs/>
        </w:rPr>
        <w:t>企业产业支撑：</w:t>
      </w:r>
      <w:r>
        <w:rPr>
          <w:rFonts w:hint="eastAsia" w:ascii="宋体" w:hAnsi="宋体" w:eastAsia="宋体" w:cs="宋体"/>
        </w:rPr>
        <w:t>联合有医疗器械研发生产能力的企业作为产业化合作伙伴，如</w:t>
      </w:r>
      <w:r>
        <w:rPr>
          <w:rFonts w:hint="eastAsia" w:ascii="宋体" w:hAnsi="宋体" w:eastAsia="宋体" w:cs="宋体"/>
          <w:lang w:val="en-US" w:eastAsia="zh-CN"/>
        </w:rPr>
        <w:t>广州奥资达、</w:t>
      </w:r>
      <w:r>
        <w:rPr>
          <w:rFonts w:hint="eastAsia" w:ascii="宋体" w:hAnsi="宋体" w:eastAsia="宋体" w:cs="宋体"/>
        </w:rPr>
        <w:t>驼人集团、安科医疗等，共同开展原型设备制造、关键部件研制，并获得医疗器械注册申报方面的经验支持。通过产学研结合，提升成果向产品转化的效率。</w:t>
      </w:r>
    </w:p>
    <w:p w14:paraId="28CF3D2D">
      <w:pPr>
        <w:pStyle w:val="31"/>
        <w:keepNext w:val="0"/>
        <w:keepLines w:val="0"/>
        <w:widowControl/>
        <w:numPr>
          <w:ilvl w:val="0"/>
          <w:numId w:val="11"/>
        </w:numPr>
        <w:suppressLineNumbers w:val="0"/>
        <w:ind w:left="420" w:leftChars="0" w:hanging="420" w:firstLineChars="0"/>
        <w:rPr>
          <w:rFonts w:hint="eastAsia" w:ascii="宋体" w:hAnsi="宋体" w:eastAsia="宋体" w:cs="宋体"/>
        </w:rPr>
      </w:pPr>
      <w:r>
        <w:rPr>
          <w:rFonts w:hint="eastAsia" w:ascii="宋体" w:hAnsi="宋体" w:eastAsia="宋体" w:cs="宋体"/>
          <w:b/>
          <w:bCs/>
        </w:rPr>
        <w:t>政策项目支撑：</w:t>
      </w:r>
      <w:r>
        <w:rPr>
          <w:rFonts w:hint="eastAsia" w:ascii="宋体" w:hAnsi="宋体" w:eastAsia="宋体" w:cs="宋体"/>
        </w:rPr>
        <w:t>积极对接政府科技主管部门和各级科研计划项目。争取自治区科技厅、市科技局以及国家自然科学基金等资助立项，获得资金和政策支持。同时充分利用医院作为国家临床重点专科等平台项目的资源，为医工融合项目提供启动经费和政策倾斜。</w:t>
      </w:r>
    </w:p>
    <w:p w14:paraId="380F9B04">
      <w:pPr>
        <w:pStyle w:val="31"/>
        <w:keepNext w:val="0"/>
        <w:keepLines w:val="0"/>
        <w:widowControl/>
        <w:suppressLineNumbers w:val="0"/>
        <w:ind w:firstLine="480" w:firstLineChars="200"/>
        <w:rPr>
          <w:rFonts w:hint="eastAsia" w:ascii="宋体" w:hAnsi="宋体" w:eastAsia="宋体" w:cs="宋体"/>
        </w:rPr>
      </w:pPr>
      <w:r>
        <w:rPr>
          <w:rFonts w:hint="eastAsia" w:ascii="宋体" w:hAnsi="宋体" w:eastAsia="宋体" w:cs="宋体"/>
        </w:rPr>
        <w:t>为保障外部合作顺利开展，起步阶段将签署</w:t>
      </w:r>
      <w:r>
        <w:rPr>
          <w:rFonts w:hint="eastAsia" w:ascii="宋体" w:hAnsi="宋体" w:eastAsia="宋体" w:cs="宋体"/>
          <w:b/>
          <w:bCs/>
          <w:color w:val="0070C0"/>
        </w:rPr>
        <w:t>战略合作备忘录或协议</w:t>
      </w:r>
      <w:r>
        <w:rPr>
          <w:rFonts w:hint="eastAsia" w:ascii="宋体" w:hAnsi="宋体" w:eastAsia="宋体" w:cs="宋体"/>
        </w:rPr>
        <w:t>，明确合作各方的职责分工、经费投入和成果共享机制，确保产学研合作高效有序推进。</w:t>
      </w:r>
    </w:p>
    <w:p w14:paraId="7806B11D">
      <w:pPr>
        <w:pStyle w:val="31"/>
        <w:keepNext w:val="0"/>
        <w:keepLines w:val="0"/>
        <w:widowControl/>
        <w:suppressLineNumbers w:val="0"/>
        <w:rPr>
          <w:rFonts w:hint="eastAsia" w:ascii="宋体" w:hAnsi="宋体" w:eastAsia="宋体" w:cs="宋体"/>
        </w:rPr>
      </w:pPr>
      <w:r>
        <w:rPr>
          <w:rFonts w:hint="eastAsia" w:ascii="宋体" w:hAnsi="宋体" w:eastAsia="宋体" w:cs="宋体"/>
          <w:b/>
          <w:bCs/>
        </w:rPr>
        <w:t>（四）科研课题规划：</w:t>
      </w:r>
      <w:r>
        <w:rPr>
          <w:rFonts w:hint="eastAsia" w:ascii="宋体" w:hAnsi="宋体" w:eastAsia="宋体" w:cs="宋体"/>
        </w:rPr>
        <w:t>制定逐年推进的科研攻关计划，以年度目标带动技术逐步突破：</w:t>
      </w:r>
    </w:p>
    <w:p w14:paraId="78E2C33F">
      <w:pPr>
        <w:pStyle w:val="31"/>
        <w:keepNext w:val="0"/>
        <w:keepLines w:val="0"/>
        <w:widowControl/>
        <w:numPr>
          <w:ilvl w:val="0"/>
          <w:numId w:val="11"/>
        </w:numPr>
        <w:suppressLineNumbers w:val="0"/>
        <w:ind w:left="420" w:leftChars="0" w:hanging="420" w:firstLineChars="0"/>
        <w:rPr>
          <w:rFonts w:hint="eastAsia" w:ascii="宋体" w:hAnsi="宋体" w:eastAsia="宋体" w:cs="宋体"/>
        </w:rPr>
      </w:pPr>
      <w:r>
        <w:rPr>
          <w:rFonts w:hint="eastAsia" w:ascii="宋体" w:hAnsi="宋体" w:eastAsia="宋体" w:cs="宋体"/>
        </w:rPr>
        <w:t>2025–2026年：聚焦核心方向申请市级、自治区级科研立项，启动腹腔镜协作式手术机器人、认知型电子病历（C-EMR）原型系统等项目的早期研究。完成关键技术可行性论证，申请发明专利，撰写初步《可行性研究报告》。</w:t>
      </w:r>
    </w:p>
    <w:p w14:paraId="69666796">
      <w:pPr>
        <w:pStyle w:val="31"/>
        <w:keepNext w:val="0"/>
        <w:keepLines w:val="0"/>
        <w:widowControl/>
        <w:numPr>
          <w:ilvl w:val="0"/>
          <w:numId w:val="11"/>
        </w:numPr>
        <w:suppressLineNumbers w:val="0"/>
        <w:ind w:left="420" w:leftChars="0" w:hanging="420" w:firstLineChars="0"/>
        <w:rPr>
          <w:rFonts w:hint="eastAsia" w:ascii="宋体" w:hAnsi="宋体" w:eastAsia="宋体" w:cs="宋体"/>
        </w:rPr>
      </w:pPr>
      <w:r>
        <w:rPr>
          <w:rFonts w:hint="eastAsia" w:ascii="宋体" w:hAnsi="宋体" w:eastAsia="宋体" w:cs="宋体"/>
        </w:rPr>
        <w:t>2027年：争取自治区重点研发计划项目支持，开展手术机器人和智能胃肠镜样机的数字建模、仿真演示及台架实验验证，解决关键技术瓶颈。同时完善《可行性研究报告》定稿并着手起草《商业计划书》，为公司化运作做好前期准备。</w:t>
      </w:r>
    </w:p>
    <w:p w14:paraId="5744E711">
      <w:pPr>
        <w:pStyle w:val="31"/>
        <w:keepNext w:val="0"/>
        <w:keepLines w:val="0"/>
        <w:widowControl/>
        <w:suppressLineNumbers w:val="0"/>
        <w:ind w:firstLine="480" w:firstLineChars="200"/>
        <w:rPr>
          <w:rFonts w:hint="eastAsia" w:ascii="宋体" w:hAnsi="宋体" w:eastAsia="宋体" w:cs="宋体"/>
        </w:rPr>
      </w:pPr>
      <w:r>
        <w:rPr>
          <w:rFonts w:hint="eastAsia" w:ascii="宋体" w:hAnsi="宋体" w:eastAsia="宋体" w:cs="宋体"/>
        </w:rPr>
        <w:t>在科研攻关过程中，同步关注医疗器械注册要求，将研究阶段的技术文档和实验数据按监管要求积累，为后续注册申报提前铺路。通过科研与产业需求的紧密衔接，确保研究方向与产品化目标一致。</w:t>
      </w:r>
    </w:p>
    <w:p w14:paraId="1374F3D0">
      <w:pPr>
        <w:pStyle w:val="31"/>
        <w:keepNext w:val="0"/>
        <w:keepLines w:val="0"/>
        <w:widowControl/>
        <w:suppressLineNumbers w:val="0"/>
        <w:rPr>
          <w:rFonts w:hint="eastAsia" w:ascii="宋体" w:hAnsi="宋体" w:eastAsia="宋体" w:cs="宋体"/>
        </w:rPr>
      </w:pPr>
      <w:r>
        <w:rPr>
          <w:rFonts w:hint="eastAsia" w:ascii="宋体" w:hAnsi="宋体" w:eastAsia="宋体" w:cs="宋体"/>
          <w:b/>
          <w:bCs/>
        </w:rPr>
        <w:t>（五）成果孵化与公司筹备：</w:t>
      </w:r>
      <w:r>
        <w:rPr>
          <w:rFonts w:hint="eastAsia" w:ascii="宋体" w:hAnsi="宋体" w:eastAsia="宋体" w:cs="宋体"/>
        </w:rPr>
        <w:t>从起步阶段即考虑成果转化路径，提前规划产业孵化方案：</w:t>
      </w:r>
    </w:p>
    <w:p w14:paraId="15609C6F">
      <w:pPr>
        <w:pStyle w:val="31"/>
        <w:keepNext w:val="0"/>
        <w:keepLines w:val="0"/>
        <w:widowControl/>
        <w:numPr>
          <w:ilvl w:val="0"/>
          <w:numId w:val="11"/>
        </w:numPr>
        <w:suppressLineNumbers w:val="0"/>
        <w:ind w:left="420" w:leftChars="0" w:hanging="420" w:firstLineChars="0"/>
        <w:rPr>
          <w:rFonts w:hint="eastAsia" w:ascii="宋体" w:hAnsi="宋体" w:eastAsia="宋体" w:cs="宋体"/>
        </w:rPr>
      </w:pPr>
      <w:r>
        <w:rPr>
          <w:rFonts w:hint="eastAsia" w:ascii="宋体" w:hAnsi="宋体" w:eastAsia="宋体" w:cs="宋体"/>
          <w:b/>
          <w:bCs/>
        </w:rPr>
        <w:t>成果梳理与市场调研：</w:t>
      </w:r>
      <w:r>
        <w:rPr>
          <w:rFonts w:hint="eastAsia" w:ascii="宋体" w:hAnsi="宋体" w:eastAsia="宋体" w:cs="宋体"/>
        </w:rPr>
        <w:t>结合临床需求和市场趋势，对科研成果进行梳理评估，选定具有市场潜力的项目作为优先孵化对象。完成高质量《商业计划书》的编制（2027年完成正式版本），为项目融资和公司设立提供依据。</w:t>
      </w:r>
    </w:p>
    <w:p w14:paraId="55F6876C">
      <w:pPr>
        <w:pStyle w:val="31"/>
        <w:keepNext w:val="0"/>
        <w:keepLines w:val="0"/>
        <w:widowControl/>
        <w:numPr>
          <w:ilvl w:val="0"/>
          <w:numId w:val="11"/>
        </w:numPr>
        <w:suppressLineNumbers w:val="0"/>
        <w:ind w:left="420" w:leftChars="0" w:hanging="420" w:firstLineChars="0"/>
        <w:rPr>
          <w:rFonts w:hint="eastAsia" w:ascii="宋体" w:hAnsi="宋体" w:eastAsia="宋体" w:cs="宋体"/>
        </w:rPr>
      </w:pPr>
      <w:r>
        <w:rPr>
          <w:rFonts w:hint="eastAsia" w:ascii="宋体" w:hAnsi="宋体" w:eastAsia="宋体" w:cs="宋体"/>
          <w:b/>
          <w:bCs/>
        </w:rPr>
        <w:t>公司设立筹备：</w:t>
      </w:r>
      <w:r>
        <w:rPr>
          <w:rFonts w:hint="eastAsia" w:ascii="宋体" w:hAnsi="宋体" w:eastAsia="宋体" w:cs="宋体"/>
        </w:rPr>
        <w:t>由医院牵头规划组建专门的成果转化平台公司——“</w:t>
      </w:r>
      <w:r>
        <w:rPr>
          <w:rFonts w:hint="eastAsia" w:ascii="宋体" w:hAnsi="宋体" w:eastAsia="宋体" w:cs="宋体"/>
          <w:color w:val="0070C0"/>
        </w:rPr>
        <w:t>具身智能医疗科技有限公司</w:t>
      </w:r>
      <w:r>
        <w:rPr>
          <w:rFonts w:hint="eastAsia" w:ascii="宋体" w:hAnsi="宋体" w:eastAsia="宋体" w:cs="宋体"/>
        </w:rPr>
        <w:t>”。起步阶段主要完成公司设立的论证与筹备：确定公司定位与业务架构，设计“双平台”运营模式（母公司侧重认知电子病历和AI算法平台，子公司侧重手术机器人、智能内镜等硬件产品线）。计划在条件成熟时于2028年前后完成公司工商注册，以承接医院科研成果的产业化落地。</w:t>
      </w:r>
    </w:p>
    <w:p w14:paraId="5A592B97">
      <w:pPr>
        <w:pStyle w:val="31"/>
        <w:keepNext w:val="0"/>
        <w:keepLines w:val="0"/>
        <w:widowControl/>
        <w:numPr>
          <w:ilvl w:val="0"/>
          <w:numId w:val="11"/>
        </w:numPr>
        <w:suppressLineNumbers w:val="0"/>
        <w:ind w:left="420" w:leftChars="0" w:hanging="420" w:firstLineChars="0"/>
        <w:rPr>
          <w:rFonts w:hint="eastAsia" w:ascii="宋体" w:hAnsi="宋体" w:eastAsia="宋体" w:cs="宋体"/>
        </w:rPr>
      </w:pPr>
      <w:r>
        <w:rPr>
          <w:rFonts w:hint="eastAsia" w:ascii="宋体" w:hAnsi="宋体" w:eastAsia="宋体" w:cs="宋体"/>
          <w:b/>
          <w:bCs/>
        </w:rPr>
        <w:t>融资策略：</w:t>
      </w:r>
      <w:r>
        <w:rPr>
          <w:rFonts w:hint="eastAsia" w:ascii="宋体" w:hAnsi="宋体" w:eastAsia="宋体" w:cs="宋体"/>
        </w:rPr>
        <w:t>制定分阶段的融资路线图。天使轮融资以科研成果和专利组合为依托，寻求政府引导基金或天使投资；Pre-A轮在完成核心样机和C-EMR系统验证后启动，为医疗器械注册申报提供资金支持；A轮融资用于产品注册审批、临床试验和市场准入；B轮融资着眼于规模化生产和市场拓展。起步阶段重点落实早期天使资金对接，争取自治区产业基金的政策性支持，并提前与医疗器械注册检验机构建立联系，保障产品注册检测的绿色通道。</w:t>
      </w:r>
    </w:p>
    <w:p w14:paraId="419D7C0D">
      <w:pPr>
        <w:pStyle w:val="31"/>
        <w:keepNext w:val="0"/>
        <w:keepLines w:val="0"/>
        <w:widowControl/>
        <w:suppressLineNumbers w:val="0"/>
        <w:rPr>
          <w:rFonts w:hint="eastAsia" w:ascii="宋体" w:hAnsi="宋体" w:eastAsia="宋体" w:cs="宋体"/>
        </w:rPr>
      </w:pPr>
      <w:r>
        <w:rPr>
          <w:rFonts w:hint="eastAsia" w:ascii="宋体" w:hAnsi="宋体" w:eastAsia="宋体" w:cs="宋体"/>
          <w:b/>
          <w:bCs/>
        </w:rPr>
        <w:t>（六）配套条件与制度保障：</w:t>
      </w:r>
      <w:r>
        <w:rPr>
          <w:rFonts w:hint="eastAsia" w:ascii="宋体" w:hAnsi="宋体" w:eastAsia="宋体" w:cs="宋体"/>
        </w:rPr>
        <w:t>为支撑起步阶段任务顺利实施，医院将在以下方面同步发力：</w:t>
      </w:r>
    </w:p>
    <w:p w14:paraId="60ACA15D">
      <w:pPr>
        <w:pStyle w:val="31"/>
        <w:keepNext w:val="0"/>
        <w:keepLines w:val="0"/>
        <w:widowControl/>
        <w:numPr>
          <w:ilvl w:val="0"/>
          <w:numId w:val="11"/>
        </w:numPr>
        <w:suppressLineNumbers w:val="0"/>
        <w:ind w:left="420" w:leftChars="0" w:hanging="420" w:firstLineChars="0"/>
        <w:rPr>
          <w:rFonts w:hint="eastAsia" w:ascii="宋体" w:hAnsi="宋体" w:eastAsia="宋体" w:cs="宋体"/>
        </w:rPr>
      </w:pPr>
      <w:r>
        <w:rPr>
          <w:rFonts w:hint="eastAsia" w:ascii="宋体" w:hAnsi="宋体" w:eastAsia="宋体" w:cs="宋体"/>
          <w:b/>
          <w:bCs/>
        </w:rPr>
        <w:t>科研基础设施：</w:t>
      </w:r>
      <w:r>
        <w:rPr>
          <w:rFonts w:hint="eastAsia" w:ascii="宋体" w:hAnsi="宋体" w:eastAsia="宋体" w:cs="宋体"/>
        </w:rPr>
        <w:t>成立“</w:t>
      </w:r>
      <w:r>
        <w:rPr>
          <w:rFonts w:hint="eastAsia" w:ascii="宋体" w:hAnsi="宋体" w:eastAsia="宋体" w:cs="宋体"/>
          <w:color w:val="0070C0"/>
        </w:rPr>
        <w:t>医工融合创新工作室</w:t>
      </w:r>
      <w:r>
        <w:rPr>
          <w:rFonts w:hint="eastAsia" w:ascii="宋体" w:hAnsi="宋体" w:eastAsia="宋体" w:cs="宋体"/>
        </w:rPr>
        <w:t>”</w:t>
      </w:r>
      <w:r>
        <w:rPr>
          <w:rFonts w:hint="eastAsia" w:ascii="宋体" w:hAnsi="宋体" w:eastAsia="宋体" w:cs="宋体"/>
          <w:lang w:val="en-US" w:eastAsia="zh-CN"/>
        </w:rPr>
        <w:t>或</w:t>
      </w:r>
      <w:r>
        <w:rPr>
          <w:rFonts w:hint="eastAsia" w:ascii="宋体" w:hAnsi="宋体" w:eastAsia="宋体" w:cs="宋体"/>
        </w:rPr>
        <w:t>“</w:t>
      </w:r>
      <w:r>
        <w:rPr>
          <w:rFonts w:hint="eastAsia" w:ascii="宋体" w:hAnsi="宋体" w:eastAsia="宋体" w:cs="宋体"/>
          <w:color w:val="0070C0"/>
        </w:rPr>
        <w:t>医工融合科研与教学实验室</w:t>
      </w:r>
      <w:r>
        <w:rPr>
          <w:rFonts w:hint="eastAsia" w:ascii="宋体" w:hAnsi="宋体" w:eastAsia="宋体" w:cs="宋体"/>
        </w:rPr>
        <w:t>”，完善实验场地和设备配置。配备手术机器人研发平台、虚拟仿真系统、人工智能训练工作站等关键设备，为技术开发提供必要的硬件支撑。</w:t>
      </w:r>
    </w:p>
    <w:p w14:paraId="6EC77B34">
      <w:pPr>
        <w:pStyle w:val="31"/>
        <w:keepNext w:val="0"/>
        <w:keepLines w:val="0"/>
        <w:widowControl/>
        <w:numPr>
          <w:ilvl w:val="0"/>
          <w:numId w:val="11"/>
        </w:numPr>
        <w:suppressLineNumbers w:val="0"/>
        <w:ind w:left="420" w:leftChars="0" w:hanging="420" w:firstLineChars="0"/>
        <w:rPr>
          <w:rFonts w:hint="eastAsia" w:ascii="宋体" w:hAnsi="宋体" w:eastAsia="宋体" w:cs="宋体"/>
        </w:rPr>
      </w:pPr>
      <w:r>
        <w:rPr>
          <w:rFonts w:hint="eastAsia" w:ascii="宋体" w:hAnsi="宋体" w:eastAsia="宋体" w:cs="宋体"/>
          <w:b/>
          <w:bCs/>
        </w:rPr>
        <w:t>管理制度建设：</w:t>
      </w:r>
      <w:r>
        <w:rPr>
          <w:rFonts w:hint="eastAsia" w:ascii="宋体" w:hAnsi="宋体" w:eastAsia="宋体" w:cs="宋体"/>
        </w:rPr>
        <w:t>建立健全医工融合专项科研项目管理制度，规范项目立项、过程管理和结题评价；建立知识产权和成果备案制度，规范专利申请、软件著作和成果登记流程，为后续产品注册提供资料支撑。同时完善科研伦理审查和数据安全管理规定，确保科研过程合法合规，保护患者隐私和数据安全。</w:t>
      </w:r>
    </w:p>
    <w:p w14:paraId="2C0B1F44">
      <w:pPr>
        <w:pStyle w:val="31"/>
        <w:keepNext w:val="0"/>
        <w:keepLines w:val="0"/>
        <w:widowControl/>
        <w:suppressLineNumbers w:val="0"/>
        <w:rPr>
          <w:rFonts w:hint="eastAsia" w:ascii="宋体" w:hAnsi="宋体" w:eastAsia="宋体" w:cs="宋体"/>
        </w:rPr>
      </w:pPr>
      <w:r>
        <w:rPr>
          <w:rFonts w:hint="eastAsia" w:ascii="宋体" w:hAnsi="宋体" w:eastAsia="宋体" w:cs="宋体"/>
          <w:b/>
          <w:bCs/>
        </w:rPr>
        <w:t>（七）阶段成果指标：</w:t>
      </w:r>
      <w:r>
        <w:rPr>
          <w:rFonts w:hint="eastAsia" w:ascii="宋体" w:hAnsi="宋体" w:eastAsia="宋体" w:cs="宋体"/>
        </w:rPr>
        <w:t>截至2027年底，预期达到以下标志性成果（部分指标定量）：</w:t>
      </w:r>
    </w:p>
    <w:p w14:paraId="727671D3">
      <w:pPr>
        <w:pStyle w:val="31"/>
        <w:keepNext w:val="0"/>
        <w:keepLines w:val="0"/>
        <w:widowControl/>
        <w:numPr>
          <w:ilvl w:val="0"/>
          <w:numId w:val="11"/>
        </w:numPr>
        <w:suppressLineNumbers w:val="0"/>
        <w:ind w:left="420" w:leftChars="0" w:hanging="420" w:firstLineChars="0"/>
        <w:rPr>
          <w:rFonts w:hint="eastAsia" w:ascii="宋体" w:hAnsi="宋体" w:eastAsia="宋体" w:cs="宋体"/>
        </w:rPr>
      </w:pPr>
      <w:r>
        <w:rPr>
          <w:rFonts w:hint="eastAsia" w:ascii="宋体" w:hAnsi="宋体" w:eastAsia="宋体" w:cs="宋体"/>
        </w:rPr>
        <w:t xml:space="preserve">获得授权专利 ≥ </w:t>
      </w:r>
      <w:r>
        <w:rPr>
          <w:rFonts w:hint="eastAsia" w:ascii="宋体" w:hAnsi="宋体" w:eastAsia="宋体" w:cs="宋体"/>
          <w:lang w:val="en-US" w:eastAsia="zh-CN"/>
        </w:rPr>
        <w:t>3</w:t>
      </w:r>
      <w:r>
        <w:rPr>
          <w:rFonts w:hint="eastAsia" w:ascii="宋体" w:hAnsi="宋体" w:eastAsia="宋体" w:cs="宋体"/>
        </w:rPr>
        <w:t xml:space="preserve">项（其中发明专利 ≥ </w:t>
      </w:r>
      <w:r>
        <w:rPr>
          <w:rFonts w:hint="eastAsia" w:ascii="宋体" w:hAnsi="宋体" w:eastAsia="宋体" w:cs="宋体"/>
          <w:lang w:val="en-US" w:eastAsia="zh-CN"/>
        </w:rPr>
        <w:t>1</w:t>
      </w:r>
      <w:r>
        <w:rPr>
          <w:rFonts w:hint="eastAsia" w:ascii="宋体" w:hAnsi="宋体" w:eastAsia="宋体" w:cs="宋体"/>
        </w:rPr>
        <w:t>项）</w:t>
      </w:r>
    </w:p>
    <w:p w14:paraId="07BE8B18">
      <w:pPr>
        <w:pStyle w:val="31"/>
        <w:keepNext w:val="0"/>
        <w:keepLines w:val="0"/>
        <w:widowControl/>
        <w:numPr>
          <w:ilvl w:val="0"/>
          <w:numId w:val="11"/>
        </w:numPr>
        <w:suppressLineNumbers w:val="0"/>
        <w:ind w:left="420" w:leftChars="0" w:hanging="420" w:firstLineChars="0"/>
        <w:rPr>
          <w:rFonts w:hint="eastAsia" w:ascii="宋体" w:hAnsi="宋体" w:eastAsia="宋体" w:cs="宋体"/>
        </w:rPr>
      </w:pPr>
      <w:r>
        <w:rPr>
          <w:rFonts w:hint="eastAsia" w:ascii="宋体" w:hAnsi="宋体" w:eastAsia="宋体" w:cs="宋体"/>
        </w:rPr>
        <w:t>发表国内核心期刊或SCI论文 ≥ 5篇</w:t>
      </w:r>
    </w:p>
    <w:p w14:paraId="44A4C490">
      <w:pPr>
        <w:pStyle w:val="31"/>
        <w:keepNext w:val="0"/>
        <w:keepLines w:val="0"/>
        <w:widowControl/>
        <w:numPr>
          <w:ilvl w:val="0"/>
          <w:numId w:val="11"/>
        </w:numPr>
        <w:suppressLineNumbers w:val="0"/>
        <w:ind w:left="420" w:leftChars="0" w:hanging="420" w:firstLineChars="0"/>
        <w:rPr>
          <w:rFonts w:hint="eastAsia" w:ascii="宋体" w:hAnsi="宋体" w:eastAsia="宋体" w:cs="宋体"/>
        </w:rPr>
      </w:pPr>
      <w:r>
        <w:rPr>
          <w:rFonts w:hint="eastAsia" w:ascii="宋体" w:hAnsi="宋体" w:eastAsia="宋体" w:cs="宋体"/>
        </w:rPr>
        <w:t xml:space="preserve">获批各级科研项目 ≥ 5项（其中国家级或省部级 ≥ </w:t>
      </w:r>
      <w:r>
        <w:rPr>
          <w:rFonts w:hint="eastAsia" w:ascii="宋体" w:hAnsi="宋体" w:eastAsia="宋体" w:cs="宋体"/>
          <w:lang w:val="en-US" w:eastAsia="zh-CN"/>
        </w:rPr>
        <w:t>2</w:t>
      </w:r>
      <w:r>
        <w:rPr>
          <w:rFonts w:hint="eastAsia" w:ascii="宋体" w:hAnsi="宋体" w:eastAsia="宋体" w:cs="宋体"/>
        </w:rPr>
        <w:t>项）</w:t>
      </w:r>
    </w:p>
    <w:p w14:paraId="10068971">
      <w:pPr>
        <w:pStyle w:val="31"/>
        <w:keepNext w:val="0"/>
        <w:keepLines w:val="0"/>
        <w:widowControl/>
        <w:numPr>
          <w:ilvl w:val="0"/>
          <w:numId w:val="11"/>
        </w:numPr>
        <w:suppressLineNumbers w:val="0"/>
        <w:ind w:left="420" w:leftChars="0" w:hanging="420" w:firstLineChars="0"/>
        <w:rPr>
          <w:rFonts w:hint="eastAsia" w:ascii="宋体" w:hAnsi="宋体" w:eastAsia="宋体" w:cs="宋体"/>
        </w:rPr>
      </w:pPr>
      <w:r>
        <w:rPr>
          <w:rFonts w:hint="eastAsia" w:ascii="宋体" w:hAnsi="宋体" w:eastAsia="宋体" w:cs="宋体"/>
        </w:rPr>
        <w:t>完成腹腔镜手术机器人和机器人胃肠镜初代样机各1套</w:t>
      </w:r>
    </w:p>
    <w:p w14:paraId="5D90ECE5">
      <w:pPr>
        <w:pStyle w:val="31"/>
        <w:keepNext w:val="0"/>
        <w:keepLines w:val="0"/>
        <w:widowControl/>
        <w:numPr>
          <w:ilvl w:val="0"/>
          <w:numId w:val="11"/>
        </w:numPr>
        <w:suppressLineNumbers w:val="0"/>
        <w:ind w:left="420" w:leftChars="0" w:hanging="420" w:firstLineChars="0"/>
        <w:rPr>
          <w:rFonts w:hint="eastAsia" w:ascii="宋体" w:hAnsi="宋体" w:eastAsia="宋体" w:cs="宋体"/>
        </w:rPr>
      </w:pPr>
      <w:r>
        <w:rPr>
          <w:rFonts w:hint="eastAsia" w:ascii="宋体" w:hAnsi="宋体" w:eastAsia="宋体" w:cs="宋体"/>
        </w:rPr>
        <w:t>开发完成认知型电子病历（C-EMR）平台Beta版本并在院内部署测试</w:t>
      </w:r>
    </w:p>
    <w:p w14:paraId="36B74F8B">
      <w:pPr>
        <w:pStyle w:val="31"/>
        <w:keepNext w:val="0"/>
        <w:keepLines w:val="0"/>
        <w:widowControl/>
        <w:numPr>
          <w:ilvl w:val="0"/>
          <w:numId w:val="11"/>
        </w:numPr>
        <w:suppressLineNumbers w:val="0"/>
        <w:ind w:left="420" w:leftChars="0" w:hanging="420" w:firstLineChars="0"/>
        <w:rPr>
          <w:rFonts w:hint="eastAsia" w:ascii="宋体" w:hAnsi="宋体" w:eastAsia="宋体" w:cs="宋体"/>
        </w:rPr>
      </w:pPr>
      <w:r>
        <w:rPr>
          <w:rFonts w:hint="eastAsia" w:ascii="宋体" w:hAnsi="宋体" w:eastAsia="宋体" w:cs="宋体"/>
        </w:rPr>
        <w:t>“具身智能医疗科技有限公司”完成筹备并具备注册成立条件</w:t>
      </w:r>
    </w:p>
    <w:p w14:paraId="37ADF505">
      <w:pPr>
        <w:pStyle w:val="31"/>
        <w:keepNext w:val="0"/>
        <w:keepLines w:val="0"/>
        <w:widowControl/>
        <w:suppressLineNumbers w:val="0"/>
        <w:ind w:left="482" w:hanging="482" w:hangingChars="200"/>
        <w:rPr>
          <w:rFonts w:hint="eastAsia" w:ascii="宋体" w:hAnsi="宋体" w:eastAsia="宋体" w:cs="宋体"/>
        </w:rPr>
      </w:pPr>
      <w:r>
        <w:rPr>
          <w:rStyle w:val="142"/>
          <w:rFonts w:hint="eastAsia" w:ascii="宋体" w:hAnsi="宋体" w:eastAsia="宋体" w:cs="宋体"/>
        </w:rPr>
        <w:t>三、中期推进策略（2028–2030）</w:t>
      </w:r>
      <w:r>
        <w:rPr>
          <w:rFonts w:hint="eastAsia" w:ascii="宋体" w:hAnsi="宋体" w:eastAsia="宋体" w:cs="宋体"/>
        </w:rPr>
        <w:br w:type="textWrapping"/>
      </w:r>
      <w:r>
        <w:rPr>
          <w:rFonts w:hint="eastAsia" w:ascii="宋体" w:hAnsi="宋体" w:eastAsia="宋体" w:cs="宋体"/>
        </w:rPr>
        <w:t>中期阶段在前期基础上加速技术向临床和产业转化推进，重点工作包括：</w:t>
      </w:r>
    </w:p>
    <w:p w14:paraId="2B0D1087">
      <w:pPr>
        <w:pStyle w:val="31"/>
        <w:keepNext w:val="0"/>
        <w:keepLines w:val="0"/>
        <w:widowControl/>
        <w:numPr>
          <w:ilvl w:val="0"/>
          <w:numId w:val="11"/>
        </w:numPr>
        <w:suppressLineNumbers w:val="0"/>
        <w:ind w:left="420" w:leftChars="0" w:hanging="420" w:firstLineChars="0"/>
        <w:rPr>
          <w:rFonts w:hint="eastAsia" w:ascii="宋体" w:hAnsi="宋体" w:eastAsia="宋体" w:cs="宋体"/>
        </w:rPr>
      </w:pPr>
      <w:r>
        <w:rPr>
          <w:rFonts w:hint="eastAsia" w:ascii="宋体" w:hAnsi="宋体" w:eastAsia="宋体" w:cs="宋体"/>
          <w:b/>
          <w:bCs/>
        </w:rPr>
        <w:t>核心产品研发与验证：</w:t>
      </w:r>
      <w:r>
        <w:rPr>
          <w:rFonts w:hint="eastAsia" w:ascii="宋体" w:hAnsi="宋体" w:eastAsia="宋体" w:cs="宋体"/>
        </w:rPr>
        <w:t>完成具身智能腹腔镜手术机器人和机器人胃肠镜系统的整机样机研制，开展全面的临床前功能与安全验证，确保核心产品性能满足医疗器械注册要求。针对验证中发现的问题迭代改进设计，为临床试验做足准备。</w:t>
      </w:r>
    </w:p>
    <w:p w14:paraId="3FD6C6DE">
      <w:pPr>
        <w:pStyle w:val="31"/>
        <w:keepNext w:val="0"/>
        <w:keepLines w:val="0"/>
        <w:widowControl/>
        <w:numPr>
          <w:ilvl w:val="0"/>
          <w:numId w:val="11"/>
        </w:numPr>
        <w:suppressLineNumbers w:val="0"/>
        <w:ind w:left="420" w:leftChars="0" w:hanging="420" w:firstLineChars="0"/>
        <w:rPr>
          <w:rFonts w:hint="eastAsia" w:ascii="宋体" w:hAnsi="宋体" w:eastAsia="宋体" w:cs="宋体"/>
        </w:rPr>
      </w:pPr>
      <w:r>
        <w:rPr>
          <w:rFonts w:hint="eastAsia" w:ascii="宋体" w:hAnsi="宋体" w:eastAsia="宋体" w:cs="宋体"/>
          <w:b/>
          <w:bCs/>
        </w:rPr>
        <w:t>注册申报与知识产权布局：</w:t>
      </w:r>
      <w:r>
        <w:rPr>
          <w:rFonts w:hint="eastAsia" w:ascii="宋体" w:hAnsi="宋体" w:eastAsia="宋体" w:cs="宋体"/>
        </w:rPr>
        <w:t>启动核心产品的医疗器械注册申报流程。在国内同步开展型式检验、注册检测等工作，并提前布局海外认证申请，为产品进入国际市场铺平道路。同时完善知识产权战略，在国内外同步申请核心专利，构筑技术壁垒，保障产品竞争力。</w:t>
      </w:r>
    </w:p>
    <w:p w14:paraId="337A387F">
      <w:pPr>
        <w:pStyle w:val="31"/>
        <w:keepNext w:val="0"/>
        <w:keepLines w:val="0"/>
        <w:widowControl/>
        <w:numPr>
          <w:ilvl w:val="0"/>
          <w:numId w:val="11"/>
        </w:numPr>
        <w:suppressLineNumbers w:val="0"/>
        <w:ind w:left="420" w:leftChars="0" w:hanging="420" w:firstLineChars="0"/>
        <w:rPr>
          <w:rFonts w:hint="eastAsia" w:ascii="宋体" w:hAnsi="宋体" w:eastAsia="宋体" w:cs="宋体"/>
        </w:rPr>
      </w:pPr>
      <w:r>
        <w:rPr>
          <w:rFonts w:hint="eastAsia" w:ascii="宋体" w:hAnsi="宋体" w:eastAsia="宋体" w:cs="宋体"/>
          <w:b/>
          <w:bCs/>
        </w:rPr>
        <w:t>平台软件升级：</w:t>
      </w:r>
      <w:r>
        <w:rPr>
          <w:rFonts w:hint="eastAsia" w:ascii="宋体" w:hAnsi="宋体" w:eastAsia="宋体" w:cs="宋体"/>
        </w:rPr>
        <w:t>推出认知型电子病历平台2.0版本，进一步完善语义识别、智能辅助决策等功能。实现C-EMR与医院现有信息系统（HIS）、区域医疗数据库和医保结算系统的互联互通，拓展平台应用范围，为区域医疗提供智能数据服务支撑。</w:t>
      </w:r>
    </w:p>
    <w:p w14:paraId="0C80BF00">
      <w:pPr>
        <w:pStyle w:val="31"/>
        <w:keepNext w:val="0"/>
        <w:keepLines w:val="0"/>
        <w:widowControl/>
        <w:numPr>
          <w:ilvl w:val="0"/>
          <w:numId w:val="11"/>
        </w:numPr>
        <w:suppressLineNumbers w:val="0"/>
        <w:ind w:left="420" w:leftChars="0" w:hanging="420" w:firstLineChars="0"/>
        <w:rPr>
          <w:rFonts w:hint="eastAsia" w:ascii="宋体" w:hAnsi="宋体" w:eastAsia="宋体" w:cs="宋体"/>
        </w:rPr>
      </w:pPr>
      <w:r>
        <w:rPr>
          <w:rFonts w:hint="eastAsia" w:ascii="宋体" w:hAnsi="宋体" w:eastAsia="宋体" w:cs="宋体"/>
          <w:b/>
          <w:bCs/>
        </w:rPr>
        <w:t>公司化运作起步：</w:t>
      </w:r>
      <w:r>
        <w:rPr>
          <w:rFonts w:hint="eastAsia" w:ascii="宋体" w:hAnsi="宋体" w:eastAsia="宋体" w:cs="宋体"/>
        </w:rPr>
        <w:t>在医院支持下正式成立“</w:t>
      </w:r>
      <w:r>
        <w:rPr>
          <w:rFonts w:hint="eastAsia" w:ascii="宋体" w:hAnsi="宋体" w:eastAsia="宋体" w:cs="宋体"/>
          <w:color w:val="0070C0"/>
        </w:rPr>
        <w:t>具身智能医疗科技有限公司</w:t>
      </w:r>
      <w:r>
        <w:rPr>
          <w:rFonts w:hint="eastAsia" w:ascii="宋体" w:hAnsi="宋体" w:eastAsia="宋体" w:cs="宋体"/>
        </w:rPr>
        <w:t>”（若尚未成立），并进入实际运营阶段。公司组建专业团队对接医院科研成果，开展产品化开发和市场推广。通过医院—企业—科研院校三方联动机制，完善成果转化流程，将医院的临床创新源源不断地输送到企业孵化管道中。初步构建从医院临床需求→科研攻关→产品研发→临床应用的闭环创新链条，实现新项目和新产品的持续孵化。</w:t>
      </w:r>
    </w:p>
    <w:p w14:paraId="61408C69">
      <w:pPr>
        <w:pStyle w:val="31"/>
        <w:keepNext w:val="0"/>
        <w:keepLines w:val="0"/>
        <w:widowControl/>
        <w:suppressLineNumbers w:val="0"/>
        <w:ind w:firstLine="480" w:firstLineChars="200"/>
        <w:rPr>
          <w:rFonts w:hint="eastAsia" w:ascii="宋体" w:hAnsi="宋体" w:eastAsia="宋体" w:cs="宋体"/>
        </w:rPr>
      </w:pPr>
      <w:r>
        <w:rPr>
          <w:rFonts w:hint="eastAsia" w:ascii="宋体" w:hAnsi="宋体" w:eastAsia="宋体" w:cs="宋体"/>
        </w:rPr>
        <w:t>中期阶段结束时（至2030年），预期完成手术机器人和智能胃肠镜产品的型检和注册申请提交，C-EMR平台进入多医院试用，公司运营步入正轨，为规模化产业转化奠定坚实基础。</w:t>
      </w:r>
    </w:p>
    <w:p w14:paraId="5B028F14">
      <w:pPr>
        <w:pStyle w:val="31"/>
        <w:keepNext w:val="0"/>
        <w:keepLines w:val="0"/>
        <w:widowControl/>
        <w:numPr>
          <w:ilvl w:val="0"/>
          <w:numId w:val="12"/>
        </w:numPr>
        <w:suppressLineNumbers w:val="0"/>
        <w:ind w:left="522" w:hanging="522" w:hangingChars="200"/>
        <w:rPr>
          <w:rStyle w:val="141"/>
          <w:rFonts w:hint="eastAsia" w:ascii="黑体" w:hAnsi="黑体" w:eastAsia="黑体" w:cs="黑体"/>
        </w:rPr>
      </w:pPr>
      <w:r>
        <w:rPr>
          <w:rStyle w:val="141"/>
          <w:rFonts w:hint="eastAsia" w:ascii="黑体" w:hAnsi="黑体" w:eastAsia="黑体" w:cs="黑体"/>
        </w:rPr>
        <w:t>远期布局与公司化发展（2031–2035）</w:t>
      </w:r>
    </w:p>
    <w:p w14:paraId="15B7AAA1">
      <w:pPr>
        <w:pStyle w:val="31"/>
        <w:keepNext w:val="0"/>
        <w:keepLines w:val="0"/>
        <w:widowControl/>
        <w:numPr>
          <w:ilvl w:val="0"/>
          <w:numId w:val="0"/>
        </w:numPr>
        <w:suppressLineNumbers w:val="0"/>
        <w:ind w:right="0" w:rightChars="0" w:firstLine="480" w:firstLineChars="200"/>
        <w:rPr>
          <w:rFonts w:hint="eastAsia" w:ascii="宋体" w:hAnsi="宋体" w:eastAsia="宋体" w:cs="宋体"/>
        </w:rPr>
      </w:pPr>
      <w:r>
        <w:rPr>
          <w:rFonts w:hint="eastAsia" w:ascii="宋体" w:hAnsi="宋体" w:eastAsia="宋体" w:cs="宋体"/>
        </w:rPr>
        <w:t>远期阶段着眼于将前期成果全面推向产业化和区域推广，形成持续发展的医工融合创新生态，并将公司化运营引向深入：</w:t>
      </w:r>
    </w:p>
    <w:p w14:paraId="35C04B94">
      <w:pPr>
        <w:pStyle w:val="31"/>
        <w:keepNext w:val="0"/>
        <w:keepLines w:val="0"/>
        <w:widowControl/>
        <w:numPr>
          <w:ilvl w:val="0"/>
          <w:numId w:val="13"/>
        </w:numPr>
        <w:suppressLineNumbers w:val="0"/>
        <w:ind w:left="420" w:leftChars="0" w:hanging="420" w:firstLineChars="0"/>
        <w:rPr>
          <w:rFonts w:hint="eastAsia" w:ascii="宋体" w:hAnsi="宋体" w:eastAsia="宋体" w:cs="宋体"/>
        </w:rPr>
      </w:pPr>
      <w:r>
        <w:rPr>
          <w:rFonts w:hint="eastAsia" w:ascii="宋体" w:hAnsi="宋体" w:eastAsia="宋体" w:cs="宋体"/>
          <w:b/>
          <w:bCs/>
        </w:rPr>
        <w:t>核心产品产业化：</w:t>
      </w:r>
      <w:r>
        <w:rPr>
          <w:rFonts w:hint="eastAsia" w:ascii="宋体" w:hAnsi="宋体" w:eastAsia="宋体" w:cs="宋体"/>
        </w:rPr>
        <w:t>实现腹腔镜手术机器人、机器人胃肠镜等核心产品的注册审批和正式上市，开展多中心临床应用，逐步拓展产品在自治区内外医院的覆盖面。通过规模化生产降低成本，以国产创新产品填补区域高端医疗装备领域的空白。</w:t>
      </w:r>
    </w:p>
    <w:p w14:paraId="30584F56">
      <w:pPr>
        <w:pStyle w:val="31"/>
        <w:keepNext w:val="0"/>
        <w:keepLines w:val="0"/>
        <w:widowControl/>
        <w:numPr>
          <w:ilvl w:val="0"/>
          <w:numId w:val="13"/>
        </w:numPr>
        <w:suppressLineNumbers w:val="0"/>
        <w:ind w:left="420" w:leftChars="0" w:hanging="420" w:firstLineChars="0"/>
        <w:rPr>
          <w:rFonts w:hint="eastAsia" w:ascii="宋体" w:hAnsi="宋体" w:eastAsia="宋体" w:cs="宋体"/>
        </w:rPr>
      </w:pPr>
      <w:r>
        <w:rPr>
          <w:rStyle w:val="135"/>
          <w:rFonts w:hint="eastAsia" w:ascii="宋体" w:hAnsi="宋体" w:eastAsia="宋体" w:cs="宋体"/>
        </w:rPr>
        <w:t>公司平台运营：</w:t>
      </w:r>
      <w:r>
        <w:rPr>
          <w:rFonts w:hint="eastAsia" w:ascii="宋体" w:hAnsi="宋体" w:eastAsia="宋体" w:cs="宋体"/>
        </w:rPr>
        <w:t>“</w:t>
      </w:r>
      <w:r>
        <w:rPr>
          <w:rFonts w:hint="eastAsia" w:ascii="宋体" w:hAnsi="宋体" w:eastAsia="宋体" w:cs="宋体"/>
          <w:color w:val="0070C0"/>
        </w:rPr>
        <w:t>具身智能医疗科技有限公司</w:t>
      </w:r>
      <w:r>
        <w:rPr>
          <w:rFonts w:hint="eastAsia" w:ascii="宋体" w:hAnsi="宋体" w:eastAsia="宋体" w:cs="宋体"/>
        </w:rPr>
        <w:t>”进入成熟运营期，不仅负责产品的生产销售，还作为医院科技成果转化的平台持续发挥作用。尤其重点打造以C-EMR云服务平台为代表的数字医疗运营能力：持续更新迭代C-EMR平台功能，提高其对临床决策支持、科研数据管理和患者服务的智能化水平；通过云服务模式将该平台推广至更多医疗机构，形成稳定的SaaS服务收入来源，支持公司的可持续发展。公司通过运营数字平台与硬件产品双轮驱动，形成“产品+平台”协同发展的业务格局。</w:t>
      </w:r>
    </w:p>
    <w:p w14:paraId="6FD7E581">
      <w:pPr>
        <w:pStyle w:val="31"/>
        <w:keepNext w:val="0"/>
        <w:keepLines w:val="0"/>
        <w:widowControl/>
        <w:numPr>
          <w:ilvl w:val="0"/>
          <w:numId w:val="13"/>
        </w:numPr>
        <w:suppressLineNumbers w:val="0"/>
        <w:ind w:left="420" w:leftChars="0" w:hanging="420" w:firstLineChars="0"/>
        <w:rPr>
          <w:rFonts w:hint="eastAsia" w:ascii="宋体" w:hAnsi="宋体" w:eastAsia="宋体" w:cs="宋体"/>
        </w:rPr>
      </w:pPr>
      <w:r>
        <w:rPr>
          <w:rFonts w:hint="eastAsia" w:ascii="宋体" w:hAnsi="宋体" w:eastAsia="宋体" w:cs="宋体"/>
          <w:b/>
          <w:bCs/>
        </w:rPr>
        <w:t>创新示范基地：</w:t>
      </w:r>
      <w:r>
        <w:rPr>
          <w:rFonts w:hint="eastAsia" w:ascii="宋体" w:hAnsi="宋体" w:eastAsia="宋体" w:cs="宋体"/>
        </w:rPr>
        <w:t>依托巴彦淖尔市医院，建设自治区乃至国家级的医工融合创新示范基地。汇聚临床、科研、产业资源，打造具身智能微创外科示范中心、智能内镜培训中心和数字医疗应用示范中心。通过示范带动，促进区域相关学科和产业链协同发展，将医院打造成区域医疗科技创新高地和产业孵化摇篮。</w:t>
      </w:r>
    </w:p>
    <w:p w14:paraId="64D1634A">
      <w:pPr>
        <w:pStyle w:val="31"/>
        <w:keepNext w:val="0"/>
        <w:keepLines w:val="0"/>
        <w:widowControl/>
        <w:numPr>
          <w:ilvl w:val="0"/>
          <w:numId w:val="13"/>
        </w:numPr>
        <w:suppressLineNumbers w:val="0"/>
        <w:ind w:left="420" w:leftChars="0" w:hanging="420" w:firstLineChars="0"/>
        <w:rPr>
          <w:rFonts w:hint="eastAsia" w:ascii="宋体" w:hAnsi="宋体" w:eastAsia="宋体" w:cs="宋体"/>
        </w:rPr>
      </w:pPr>
      <w:r>
        <w:rPr>
          <w:rFonts w:hint="eastAsia" w:ascii="宋体" w:hAnsi="宋体" w:eastAsia="宋体" w:cs="宋体"/>
          <w:b/>
          <w:bCs/>
        </w:rPr>
        <w:t>开放的数字生态：</w:t>
      </w:r>
      <w:r>
        <w:rPr>
          <w:rFonts w:hint="eastAsia" w:ascii="宋体" w:hAnsi="宋体" w:eastAsia="宋体" w:cs="宋体"/>
        </w:rPr>
        <w:t>构建开放共享的“认知电子病历+C-EMR物联网”数字生态体系。通过标准接口和开放平台，将不同医院、科研机构和第三方开发者连接起来，共同丰富C-EMR的应用场景，实现区域医疗数据的互联互通和智能应用。引入具身智能技术赋能临床决策和康复管理，提高区域数字医疗的整体水平。</w:t>
      </w:r>
    </w:p>
    <w:p w14:paraId="75CACA60">
      <w:pPr>
        <w:pStyle w:val="31"/>
        <w:keepNext w:val="0"/>
        <w:keepLines w:val="0"/>
        <w:widowControl/>
        <w:numPr>
          <w:ilvl w:val="0"/>
          <w:numId w:val="13"/>
        </w:numPr>
        <w:suppressLineNumbers w:val="0"/>
        <w:ind w:left="420" w:leftChars="0" w:hanging="420" w:firstLineChars="0"/>
        <w:rPr>
          <w:rFonts w:hint="eastAsia" w:ascii="宋体" w:hAnsi="宋体" w:eastAsia="宋体" w:cs="宋体"/>
        </w:rPr>
      </w:pPr>
      <w:r>
        <w:rPr>
          <w:rFonts w:hint="eastAsia" w:ascii="宋体" w:hAnsi="宋体" w:eastAsia="宋体" w:cs="宋体"/>
          <w:b/>
          <w:bCs/>
        </w:rPr>
        <w:t>品牌影响力提升：</w:t>
      </w:r>
      <w:r>
        <w:rPr>
          <w:rFonts w:hint="eastAsia" w:ascii="宋体" w:hAnsi="宋体" w:eastAsia="宋体" w:cs="宋体"/>
        </w:rPr>
        <w:t>将“三大主线+智能装备外围”系列创新成果凝练为医院独特的技术品牌。积极举办和参与学术会议、产业论坛，推广医工融合创新模式和成果，提升巴彦淖尔市医院在智能医疗领域的知名度和影响力。到2035年，努力将本院打造成为自治区医工融合科技创新的旗舰，形成可持续发展的创新品牌和产业集群。</w:t>
      </w:r>
    </w:p>
    <w:p w14:paraId="32E342BC">
      <w:pPr>
        <w:pStyle w:val="31"/>
        <w:keepNext w:val="0"/>
        <w:keepLines w:val="0"/>
        <w:widowControl/>
        <w:numPr>
          <w:ilvl w:val="0"/>
          <w:numId w:val="12"/>
        </w:numPr>
        <w:suppressLineNumbers w:val="0"/>
        <w:ind w:left="522" w:leftChars="0" w:hanging="522" w:hangingChars="200"/>
        <w:rPr>
          <w:rStyle w:val="141"/>
          <w:rFonts w:hint="eastAsia" w:ascii="黑体" w:hAnsi="黑体" w:eastAsia="黑体" w:cs="黑体"/>
        </w:rPr>
      </w:pPr>
      <w:r>
        <w:rPr>
          <w:rStyle w:val="141"/>
          <w:rFonts w:hint="eastAsia" w:ascii="黑体" w:hAnsi="黑体" w:eastAsia="黑体" w:cs="黑体"/>
        </w:rPr>
        <w:t>实施机制与保障措施</w:t>
      </w:r>
    </w:p>
    <w:p w14:paraId="55F2E2C8">
      <w:pPr>
        <w:pStyle w:val="31"/>
        <w:keepNext w:val="0"/>
        <w:keepLines w:val="0"/>
        <w:widowControl/>
        <w:numPr>
          <w:ilvl w:val="0"/>
          <w:numId w:val="0"/>
        </w:numPr>
        <w:suppressLineNumbers w:val="0"/>
        <w:ind w:right="0" w:rightChars="0" w:firstLine="480" w:firstLineChars="200"/>
        <w:rPr>
          <w:rFonts w:hint="eastAsia" w:ascii="宋体" w:hAnsi="宋体" w:eastAsia="宋体" w:cs="宋体"/>
        </w:rPr>
      </w:pPr>
      <w:r>
        <w:rPr>
          <w:rFonts w:hint="eastAsia" w:ascii="宋体" w:hAnsi="宋体" w:eastAsia="宋体" w:cs="宋体"/>
        </w:rPr>
        <w:t>为确保本规划顺利实施，巴彦淖尔市医院将从组织管理、人才保障、考核激励、资金投入等方面提供全方位保障：</w:t>
      </w:r>
    </w:p>
    <w:p w14:paraId="5EA209EA">
      <w:pPr>
        <w:pStyle w:val="31"/>
        <w:keepNext w:val="0"/>
        <w:keepLines w:val="0"/>
        <w:widowControl/>
        <w:suppressLineNumbers w:val="0"/>
        <w:rPr>
          <w:rFonts w:hint="eastAsia" w:ascii="宋体" w:hAnsi="宋体" w:eastAsia="宋体" w:cs="宋体"/>
        </w:rPr>
      </w:pPr>
      <w:r>
        <w:rPr>
          <w:rFonts w:hint="eastAsia" w:ascii="宋体" w:hAnsi="宋体" w:eastAsia="宋体" w:cs="宋体"/>
          <w:b/>
          <w:bCs/>
        </w:rPr>
        <w:t>（一）组织保障：</w:t>
      </w:r>
      <w:r>
        <w:rPr>
          <w:rFonts w:hint="eastAsia" w:ascii="宋体" w:hAnsi="宋体" w:eastAsia="宋体" w:cs="宋体"/>
        </w:rPr>
        <w:t>成立由院领导牵头的医工融合工作领导小组，统筹协调规划落实。定期召开专项工作会议，研讨解决项目推进中的跨部门问题。领导小组下设办公室（设在科研或医工融合相关职能部门），负责日常协调和信息沟通。各相关临床科室（如胃肠外科等）和职能部门明确专人作为联络员，形成横向协同、纵向联动的组织架构。通过高层推动和部门协同，保障各项任务有人抓、进度可监控。</w:t>
      </w:r>
    </w:p>
    <w:p w14:paraId="439A1A7C">
      <w:pPr>
        <w:pStyle w:val="31"/>
        <w:keepNext w:val="0"/>
        <w:keepLines w:val="0"/>
        <w:widowControl/>
        <w:suppressLineNumbers w:val="0"/>
        <w:rPr>
          <w:rFonts w:hint="eastAsia" w:ascii="华文楷体" w:hAnsi="华文楷体" w:eastAsia="华文楷体" w:cs="华文楷体"/>
          <w:i w:val="0"/>
          <w:iCs w:val="0"/>
          <w:color w:val="0070C0"/>
        </w:rPr>
      </w:pPr>
      <w:r>
        <w:rPr>
          <w:rStyle w:val="135"/>
          <w:rFonts w:hint="eastAsia" w:ascii="宋体" w:hAnsi="宋体" w:eastAsia="宋体" w:cs="宋体"/>
        </w:rPr>
        <w:t>（二）人才体系与人脉储备（2025–2035）：</w:t>
      </w:r>
      <w:r>
        <w:rPr>
          <w:rStyle w:val="135"/>
          <w:rFonts w:hint="eastAsia" w:ascii="宋体" w:hAnsi="宋体" w:eastAsia="宋体" w:cs="宋体"/>
          <w:b w:val="0"/>
          <w:bCs w:val="0"/>
        </w:rPr>
        <w:t>医院将人才队伍建设提升到战略高度，配套制定</w:t>
      </w:r>
      <w:r>
        <w:rPr>
          <w:rStyle w:val="135"/>
          <w:rFonts w:hint="eastAsia" w:ascii="宋体" w:hAnsi="宋体" w:eastAsia="宋体" w:cs="宋体"/>
          <w:b w:val="0"/>
          <w:bCs w:val="0"/>
          <w:color w:val="0070C0"/>
        </w:rPr>
        <w:t>《具身智能医疗科技公司人才体系与人脉储备规划（2025–2035）》</w:t>
      </w:r>
      <w:r>
        <w:rPr>
          <w:rStyle w:val="135"/>
          <w:rFonts w:hint="eastAsia" w:ascii="宋体" w:hAnsi="宋体" w:eastAsia="宋体" w:cs="宋体"/>
          <w:b w:val="0"/>
          <w:bCs w:val="0"/>
        </w:rPr>
        <w:t>。概括来说，将通过内部培养</w:t>
      </w:r>
      <w:r>
        <w:rPr>
          <w:rFonts w:hint="eastAsia" w:ascii="宋体" w:hAnsi="宋体" w:eastAsia="宋体" w:cs="宋体"/>
          <w:b w:val="0"/>
          <w:bCs w:val="0"/>
        </w:rPr>
        <w:t>与</w:t>
      </w:r>
      <w:r>
        <w:rPr>
          <w:rStyle w:val="135"/>
          <w:rFonts w:hint="eastAsia" w:ascii="宋体" w:hAnsi="宋体" w:eastAsia="宋体" w:cs="宋体"/>
          <w:b w:val="0"/>
          <w:bCs w:val="0"/>
        </w:rPr>
        <w:t>外部引进</w:t>
      </w:r>
      <w:r>
        <w:rPr>
          <w:rFonts w:hint="eastAsia" w:ascii="宋体" w:hAnsi="宋体" w:eastAsia="宋体" w:cs="宋体"/>
        </w:rPr>
        <w:t>相结合，构建多层次的人才梯队和人脉网络：一方面，依托医院现有的人才培养机制，在十年内逐步培养出一批既懂临床又懂工程的复合型骨干人才，包括手术专家、科研带头人、产业化经理等，为医工融合项目提供持续的人才供给；另一方面，面向全国招引在人工智能、机器人、生物医学工程等领域有经验的高层次人才加盟公司，特别是在中后期引进具有产业化经验的管理和技术专家，提升公司运营水平。同时注重人脉网络建设，通过学术交流、产学研联盟等方式结交行业领军人才和投资人顾问，建立顾问委员会定期指导。到2035年，力争形成</w:t>
      </w:r>
      <w:r>
        <w:rPr>
          <w:rStyle w:val="135"/>
          <w:rFonts w:hint="eastAsia" w:ascii="宋体" w:hAnsi="宋体" w:eastAsia="宋体" w:cs="宋体"/>
        </w:rPr>
        <w:t>院内人才梯队完善、院外专家资源丰富</w:t>
      </w:r>
      <w:r>
        <w:rPr>
          <w:rFonts w:hint="eastAsia" w:ascii="宋体" w:hAnsi="宋体" w:eastAsia="宋体" w:cs="宋体"/>
        </w:rPr>
        <w:t>的人才体系，为创新转化提供源源不断的人才和智力支持。</w:t>
      </w:r>
      <w:r>
        <w:rPr>
          <w:rStyle w:val="136"/>
          <w:rFonts w:hint="eastAsia" w:ascii="华文楷体" w:hAnsi="华文楷体" w:eastAsia="华文楷体" w:cs="华文楷体"/>
          <w:i w:val="0"/>
          <w:iCs w:val="0"/>
          <w:color w:val="0070C0"/>
        </w:rPr>
        <w:t>(本规划的完整人才体系与人脉储备方案另附于附录，可供详细参考)</w:t>
      </w:r>
      <w:r>
        <w:rPr>
          <w:rFonts w:hint="eastAsia" w:ascii="华文楷体" w:hAnsi="华文楷体" w:eastAsia="华文楷体" w:cs="华文楷体"/>
          <w:i w:val="0"/>
          <w:iCs w:val="0"/>
          <w:color w:val="0070C0"/>
        </w:rPr>
        <w:t>。</w:t>
      </w:r>
    </w:p>
    <w:p w14:paraId="7A1EC44A">
      <w:pPr>
        <w:pStyle w:val="31"/>
        <w:keepNext w:val="0"/>
        <w:keepLines w:val="0"/>
        <w:widowControl/>
        <w:suppressLineNumbers w:val="0"/>
        <w:rPr>
          <w:rFonts w:hint="eastAsia" w:ascii="宋体" w:hAnsi="宋体" w:eastAsia="宋体" w:cs="宋体"/>
        </w:rPr>
      </w:pPr>
      <w:r>
        <w:rPr>
          <w:rFonts w:hint="eastAsia" w:ascii="宋体" w:hAnsi="宋体" w:eastAsia="宋体" w:cs="宋体"/>
          <w:b/>
          <w:bCs/>
        </w:rPr>
        <w:t>（三）目标考核：</w:t>
      </w:r>
      <w:r>
        <w:rPr>
          <w:rFonts w:hint="eastAsia" w:ascii="宋体" w:hAnsi="宋体" w:eastAsia="宋体" w:cs="宋体"/>
        </w:rPr>
        <w:t>建立明确的阶段性目标考核机制，将规划确定的关键指标纳入医院绩效管理体系。每年度制定医工融合专项工作计划，年终对照计划完成情况进行评估。考核内容包括科研论文发表数、专利成果数、产品研制及转化进展、获得科研经费情况等。对完成出色的团队和个人给予表彰和奖励，将其与职称晋升、岗位绩效挂钩；对未达标者予以通报并限期整改。通过刚性的考核激励，确保各项任务目标落到实处。</w:t>
      </w:r>
    </w:p>
    <w:p w14:paraId="651C04D6">
      <w:pPr>
        <w:pStyle w:val="31"/>
        <w:keepNext w:val="0"/>
        <w:keepLines w:val="0"/>
        <w:widowControl/>
        <w:suppressLineNumbers w:val="0"/>
        <w:rPr>
          <w:rFonts w:hint="eastAsia" w:ascii="宋体" w:hAnsi="宋体" w:eastAsia="宋体" w:cs="宋体"/>
        </w:rPr>
      </w:pPr>
      <w:r>
        <w:rPr>
          <w:rFonts w:hint="eastAsia" w:ascii="宋体" w:hAnsi="宋体" w:eastAsia="宋体" w:cs="宋体"/>
          <w:b/>
          <w:bCs/>
        </w:rPr>
        <w:t>（四）资金投入与保障：</w:t>
      </w:r>
      <w:r>
        <w:rPr>
          <w:rFonts w:hint="eastAsia" w:ascii="宋体" w:hAnsi="宋体" w:eastAsia="宋体" w:cs="宋体"/>
        </w:rPr>
        <w:t>实行“科研投入—产出—再投入 (DIO)”的循环支持机制。医院每年设立医工融合专项科研资金，用于支持本规划相关项目的启动和研发；对产生显著成果的项目，医院将其转化收益部分反哺科研，再追加投入后续研发，形成良性的经费循环。积极争取政府专项资金和社会资本支持，拓宽资金来源渠道。在医院年度预算中优先保障医工融合重点项目经费，并建立动态调整机制，根据项目进展灵活追加资源投入，避免“卡脖子”现象。</w:t>
      </w:r>
    </w:p>
    <w:p w14:paraId="11EC13F1">
      <w:pPr>
        <w:pStyle w:val="31"/>
        <w:keepNext w:val="0"/>
        <w:keepLines w:val="0"/>
        <w:widowControl/>
        <w:suppressLineNumbers w:val="0"/>
        <w:rPr>
          <w:rFonts w:hint="eastAsia" w:ascii="宋体" w:hAnsi="宋体" w:eastAsia="宋体" w:cs="宋体"/>
        </w:rPr>
      </w:pPr>
      <w:r>
        <w:rPr>
          <w:rFonts w:hint="eastAsia" w:ascii="宋体" w:hAnsi="宋体" w:eastAsia="宋体" w:cs="宋体"/>
          <w:b/>
          <w:bCs/>
        </w:rPr>
        <w:t>（五）监督评估：</w:t>
      </w:r>
      <w:r>
        <w:rPr>
          <w:rFonts w:hint="eastAsia" w:ascii="宋体" w:hAnsi="宋体" w:eastAsia="宋体" w:cs="宋体"/>
        </w:rPr>
        <w:t>建立定期监督和滚动修订机制。每年由医工融合领导小组办公室编制《医工融合工作年度报告》和《项目进展评估报告》，对照规划目标检查各项任务的推进情况和阶段成果完成度。定期邀请院内外专家对项目实施效果进行评议，提出改进建议。根据年度评估结果，对规划路线和重点项目进行动态调整，及时优化资源配置和技术路线，确保规划始终沿着正确方向推进。重要里程碑节点（如样机研制完成、公司成立、产品注册等）实现后，适时组织中期评估或阶段性总结会议，凝练经验教训，为下一阶段提供决策依据。通过持续的监督评估和反馈改进机制，保障本规划的长期有效执行和最终目标达成。</w:t>
      </w:r>
    </w:p>
    <w:p w14:paraId="18F323D4">
      <w:pPr>
        <w:pStyle w:val="4"/>
        <w:bidi w:val="0"/>
        <w:rPr>
          <w:rFonts w:hint="eastAsia" w:ascii="黑体" w:hAnsi="黑体" w:eastAsia="黑体" w:cs="黑体"/>
          <w:lang w:val="en-US" w:eastAsia="zh-CN"/>
        </w:rPr>
      </w:pPr>
    </w:p>
    <w:p w14:paraId="35DE7131">
      <w:pPr>
        <w:pStyle w:val="4"/>
        <w:bidi w:val="0"/>
        <w:rPr>
          <w:rFonts w:hint="eastAsia" w:ascii="黑体" w:hAnsi="黑体" w:eastAsia="黑体" w:cs="黑体"/>
        </w:rPr>
      </w:pPr>
      <w:r>
        <w:rPr>
          <w:rFonts w:hint="eastAsia" w:ascii="黑体" w:hAnsi="黑体" w:eastAsia="黑体" w:cs="黑体"/>
          <w:lang w:val="en-US" w:eastAsia="zh-CN"/>
        </w:rPr>
        <w:t xml:space="preserve">附录 </w:t>
      </w:r>
      <w:r>
        <w:rPr>
          <w:rFonts w:hint="eastAsia" w:ascii="黑体" w:hAnsi="黑体" w:eastAsia="黑体" w:cs="黑体"/>
          <w:b w:val="0"/>
          <w:bCs w:val="0"/>
        </w:rPr>
        <w:t>具身智能医疗科技公司人才体系与人脉储备规划（2025–2035）</w:t>
      </w:r>
    </w:p>
    <w:p w14:paraId="4311D65B">
      <w:pPr>
        <w:pStyle w:val="31"/>
        <w:keepNext w:val="0"/>
        <w:keepLines w:val="0"/>
        <w:widowControl/>
        <w:suppressLineNumbers w:val="0"/>
        <w:ind w:firstLine="480" w:firstLineChars="200"/>
        <w:rPr>
          <w:rFonts w:hint="eastAsia" w:ascii="华文楷体" w:hAnsi="华文楷体" w:eastAsia="华文楷体" w:cs="华文楷体"/>
        </w:rPr>
      </w:pPr>
      <w:r>
        <w:rPr>
          <w:rStyle w:val="135"/>
          <w:rFonts w:hint="eastAsia" w:ascii="华文楷体" w:hAnsi="华文楷体" w:eastAsia="华文楷体" w:cs="华文楷体"/>
          <w:b w:val="0"/>
          <w:bCs w:val="0"/>
        </w:rPr>
        <w:t>以“腹腔镜智能手术机器人、机器人化胃肠镜系统、认知型电子病历（C-EMR）平台”为三大主线，实现具身智能化与认知医学的国产化突破。</w:t>
      </w:r>
      <w:r>
        <w:rPr>
          <w:rFonts w:hint="eastAsia" w:ascii="华文楷体" w:hAnsi="华文楷体" w:eastAsia="华文楷体" w:cs="华文楷体"/>
        </w:rPr>
        <w:t xml:space="preserve">围绕这一目标，公司未来需要的核心人才体系，应当覆盖 </w:t>
      </w:r>
      <w:r>
        <w:rPr>
          <w:rStyle w:val="135"/>
          <w:rFonts w:hint="eastAsia" w:ascii="华文楷体" w:hAnsi="华文楷体" w:eastAsia="华文楷体" w:cs="华文楷体"/>
        </w:rPr>
        <w:t>医学、工程、AI、法规、运营、投资</w:t>
      </w:r>
      <w:r>
        <w:rPr>
          <w:rFonts w:hint="eastAsia" w:ascii="华文楷体" w:hAnsi="华文楷体" w:eastAsia="华文楷体" w:cs="华文楷体"/>
        </w:rPr>
        <w:t xml:space="preserve"> 六大板块，共分为</w:t>
      </w:r>
      <w:r>
        <w:rPr>
          <w:rStyle w:val="135"/>
          <w:rFonts w:hint="eastAsia" w:ascii="华文楷体" w:hAnsi="华文楷体" w:eastAsia="华文楷体" w:cs="华文楷体"/>
        </w:rPr>
        <w:t>五层二十类关键岗位</w:t>
      </w:r>
      <w:r>
        <w:rPr>
          <w:rFonts w:hint="eastAsia" w:ascii="华文楷体" w:hAnsi="华文楷体" w:eastAsia="华文楷体" w:cs="华文楷体"/>
        </w:rPr>
        <w:t>。</w:t>
      </w:r>
      <w:r>
        <w:rPr>
          <w:rFonts w:hint="eastAsia" w:ascii="华文楷体" w:hAnsi="华文楷体" w:eastAsia="华文楷体" w:cs="华文楷体"/>
        </w:rPr>
        <w:br w:type="textWrapping"/>
      </w:r>
      <w:r>
        <w:rPr>
          <w:rFonts w:hint="eastAsia" w:ascii="华文楷体" w:hAnsi="华文楷体" w:eastAsia="华文楷体" w:cs="华文楷体"/>
          <w:lang w:val="en-US" w:eastAsia="zh-CN"/>
        </w:rPr>
        <w:t xml:space="preserve">        </w:t>
      </w:r>
      <w:r>
        <w:rPr>
          <w:rFonts w:hint="eastAsia" w:ascii="华文楷体" w:hAnsi="华文楷体" w:eastAsia="华文楷体" w:cs="华文楷体"/>
        </w:rPr>
        <w:t>以下为分层结构化清单，可直接作为您的人才储备与人脉布局指南。</w:t>
      </w:r>
    </w:p>
    <w:p w14:paraId="0431329C">
      <w:pPr>
        <w:pStyle w:val="4"/>
        <w:keepNext w:val="0"/>
        <w:keepLines w:val="0"/>
        <w:widowControl/>
        <w:suppressLineNumbers w:val="0"/>
        <w:rPr>
          <w:rFonts w:hint="eastAsia" w:ascii="华文楷体" w:hAnsi="华文楷体" w:eastAsia="华文楷体" w:cs="华文楷体"/>
        </w:rPr>
      </w:pPr>
      <w:r>
        <w:rPr>
          <w:rFonts w:hint="eastAsia" w:ascii="华文楷体" w:hAnsi="华文楷体" w:eastAsia="华文楷体" w:cs="华文楷体"/>
        </w:rPr>
        <w:t>一、战略与管理层（公司核心骨干层）</w:t>
      </w:r>
    </w:p>
    <w:tbl>
      <w:tblPr>
        <w:tblStyle w:val="34"/>
        <w:tblW w:w="0" w:type="auto"/>
        <w:tblInd w:w="0" w:type="dxa"/>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179"/>
        <w:gridCol w:w="4240"/>
        <w:gridCol w:w="2381"/>
      </w:tblGrid>
      <w:tr w14:paraId="4F509AEC">
        <w:tblPrEx>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shd w:val="clear" w:color="auto" w:fill="auto"/>
          <w:tblCellMar>
            <w:top w:w="0" w:type="dxa"/>
            <w:left w:w="0" w:type="dxa"/>
            <w:bottom w:w="0" w:type="dxa"/>
            <w:right w:w="0" w:type="dxa"/>
          </w:tblCellMar>
        </w:tblPrEx>
        <w:tc>
          <w:tcPr>
            <w:tcW w:w="2291"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3063A633">
            <w:pPr>
              <w:pStyle w:val="31"/>
              <w:keepNext w:val="0"/>
              <w:keepLines w:val="0"/>
              <w:widowControl/>
              <w:suppressLineNumbers w:val="0"/>
              <w:spacing w:before="0" w:beforeAutospacing="0" w:after="200" w:afterAutospacing="0"/>
              <w:jc w:val="center"/>
              <w:rPr>
                <w:rFonts w:ascii="华文楷体" w:hAnsi="华文楷体" w:eastAsia="华文楷体" w:cs="华文楷体"/>
                <w:sz w:val="24"/>
                <w:szCs w:val="24"/>
              </w:rPr>
            </w:pPr>
            <w:r>
              <w:rPr>
                <w:rFonts w:hint="eastAsia" w:ascii="华文楷体" w:hAnsi="华文楷体" w:eastAsia="华文楷体" w:cs="华文楷体"/>
                <w:b/>
                <w:bCs/>
                <w:sz w:val="24"/>
                <w:szCs w:val="24"/>
              </w:rPr>
              <w:t>岗位类别</w:t>
            </w:r>
          </w:p>
        </w:tc>
        <w:tc>
          <w:tcPr>
            <w:tcW w:w="4744"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3513F74C">
            <w:pPr>
              <w:pStyle w:val="31"/>
              <w:keepNext w:val="0"/>
              <w:keepLines w:val="0"/>
              <w:widowControl/>
              <w:suppressLineNumbers w:val="0"/>
              <w:spacing w:before="0" w:beforeAutospacing="0" w:after="200" w:afterAutospacing="0"/>
              <w:jc w:val="center"/>
              <w:rPr>
                <w:rFonts w:hint="eastAsia" w:ascii="华文楷体" w:hAnsi="华文楷体" w:eastAsia="华文楷体" w:cs="华文楷体"/>
                <w:sz w:val="24"/>
                <w:szCs w:val="24"/>
              </w:rPr>
            </w:pPr>
            <w:r>
              <w:rPr>
                <w:rFonts w:hint="eastAsia" w:ascii="华文楷体" w:hAnsi="华文楷体" w:eastAsia="华文楷体" w:cs="华文楷体"/>
                <w:b/>
                <w:bCs/>
                <w:sz w:val="24"/>
                <w:szCs w:val="24"/>
              </w:rPr>
              <w:t>典型背景与职责</w:t>
            </w:r>
          </w:p>
        </w:tc>
        <w:tc>
          <w:tcPr>
            <w:tcW w:w="2565"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6CD1FB25">
            <w:pPr>
              <w:pStyle w:val="31"/>
              <w:keepNext w:val="0"/>
              <w:keepLines w:val="0"/>
              <w:widowControl/>
              <w:suppressLineNumbers w:val="0"/>
              <w:spacing w:before="0" w:beforeAutospacing="0" w:after="200" w:afterAutospacing="0"/>
              <w:jc w:val="center"/>
              <w:rPr>
                <w:rFonts w:hint="eastAsia" w:ascii="华文楷体" w:hAnsi="华文楷体" w:eastAsia="华文楷体" w:cs="华文楷体"/>
                <w:sz w:val="24"/>
                <w:szCs w:val="24"/>
              </w:rPr>
            </w:pPr>
            <w:r>
              <w:rPr>
                <w:rFonts w:hint="eastAsia" w:ascii="华文楷体" w:hAnsi="华文楷体" w:eastAsia="华文楷体" w:cs="华文楷体"/>
                <w:b/>
                <w:bCs/>
                <w:sz w:val="24"/>
                <w:szCs w:val="24"/>
              </w:rPr>
              <w:t>推荐来源与积累方向</w:t>
            </w:r>
          </w:p>
        </w:tc>
      </w:tr>
      <w:tr w14:paraId="385019D3">
        <w:tblPrEx>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shd w:val="clear" w:color="auto" w:fill="auto"/>
          <w:tblCellMar>
            <w:top w:w="0" w:type="dxa"/>
            <w:left w:w="0" w:type="dxa"/>
            <w:bottom w:w="0" w:type="dxa"/>
            <w:right w:w="0" w:type="dxa"/>
          </w:tblCellMar>
        </w:tblPrEx>
        <w:tc>
          <w:tcPr>
            <w:tcW w:w="2319"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3B8E9B10">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b/>
                <w:bCs/>
                <w:sz w:val="24"/>
                <w:szCs w:val="24"/>
              </w:rPr>
              <w:t>1. 医学总顾问 / 首席医疗官（CMO）</w:t>
            </w:r>
          </w:p>
        </w:tc>
        <w:tc>
          <w:tcPr>
            <w:tcW w:w="4744"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1BDAA217">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三甲医院胃肠外科、消化内镜或微创外科专家，负责临床需求定义、术式验证与注册临床指导。</w:t>
            </w:r>
          </w:p>
        </w:tc>
        <w:tc>
          <w:tcPr>
            <w:tcW w:w="2624"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248821A5">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医院内部核心专家、西交大/清华合作教授</w:t>
            </w:r>
          </w:p>
        </w:tc>
      </w:tr>
      <w:tr w14:paraId="4BCE2190">
        <w:tblPrEx>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shd w:val="clear" w:color="auto" w:fill="auto"/>
          <w:tblCellMar>
            <w:top w:w="0" w:type="dxa"/>
            <w:left w:w="0" w:type="dxa"/>
            <w:bottom w:w="0" w:type="dxa"/>
            <w:right w:w="0" w:type="dxa"/>
          </w:tblCellMar>
        </w:tblPrEx>
        <w:tc>
          <w:tcPr>
            <w:tcW w:w="2292"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0D0EB0F6">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b/>
                <w:bCs/>
                <w:sz w:val="24"/>
                <w:szCs w:val="24"/>
              </w:rPr>
              <w:t>2. 技术总监 / 首席技术官（CTO）</w:t>
            </w:r>
          </w:p>
        </w:tc>
        <w:tc>
          <w:tcPr>
            <w:tcW w:w="4744"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4892501B">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具备机器人控制、嵌入式系统或医疗装备开发经验，统筹产品研发路线与技术整合。</w:t>
            </w:r>
          </w:p>
        </w:tc>
        <w:tc>
          <w:tcPr>
            <w:tcW w:w="2624"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10F47B50">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西交大、哈工大、华南理工工程背景博士</w:t>
            </w:r>
          </w:p>
        </w:tc>
      </w:tr>
      <w:tr w14:paraId="180DE33F">
        <w:tblPrEx>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shd w:val="clear" w:color="auto" w:fill="auto"/>
          <w:tblCellMar>
            <w:top w:w="0" w:type="dxa"/>
            <w:left w:w="0" w:type="dxa"/>
            <w:bottom w:w="0" w:type="dxa"/>
            <w:right w:w="0" w:type="dxa"/>
          </w:tblCellMar>
        </w:tblPrEx>
        <w:tc>
          <w:tcPr>
            <w:tcW w:w="2291"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1C96FB2D">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b/>
                <w:bCs/>
                <w:sz w:val="24"/>
                <w:szCs w:val="24"/>
              </w:rPr>
              <w:t>3. 产品总监（CPO）</w:t>
            </w:r>
          </w:p>
        </w:tc>
        <w:tc>
          <w:tcPr>
            <w:tcW w:w="4744"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57638072">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熟悉医疗产品设计与临床需求转化，负责“术式—结构—注册”一体化路径。</w:t>
            </w:r>
          </w:p>
        </w:tc>
        <w:tc>
          <w:tcPr>
            <w:tcW w:w="2624"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6BB7FE40">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医工交叉博士、企业产品经理转型人才</w:t>
            </w:r>
          </w:p>
        </w:tc>
      </w:tr>
      <w:tr w14:paraId="0D678509">
        <w:tblPrEx>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shd w:val="clear" w:color="auto" w:fill="auto"/>
          <w:tblCellMar>
            <w:top w:w="0" w:type="dxa"/>
            <w:left w:w="0" w:type="dxa"/>
            <w:bottom w:w="0" w:type="dxa"/>
            <w:right w:w="0" w:type="dxa"/>
          </w:tblCellMar>
        </w:tblPrEx>
        <w:tc>
          <w:tcPr>
            <w:tcW w:w="2292"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3CE10472">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b/>
                <w:bCs/>
                <w:sz w:val="24"/>
                <w:szCs w:val="24"/>
              </w:rPr>
              <w:t>4. 运营与项目管理负责人（COO）</w:t>
            </w:r>
          </w:p>
        </w:tc>
        <w:tc>
          <w:tcPr>
            <w:tcW w:w="4744"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348F1C6A">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负责团队组织、资金与时间节奏、院内外项目统筹。</w:t>
            </w:r>
          </w:p>
        </w:tc>
        <w:tc>
          <w:tcPr>
            <w:tcW w:w="2624"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19E21019">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医院科研管理部门、科技企业运营管理人员</w:t>
            </w:r>
          </w:p>
        </w:tc>
      </w:tr>
      <w:tr w14:paraId="30A7CB19">
        <w:tblPrEx>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shd w:val="clear" w:color="auto" w:fill="auto"/>
          <w:tblCellMar>
            <w:top w:w="0" w:type="dxa"/>
            <w:left w:w="0" w:type="dxa"/>
            <w:bottom w:w="0" w:type="dxa"/>
            <w:right w:w="0" w:type="dxa"/>
          </w:tblCellMar>
        </w:tblPrEx>
        <w:tc>
          <w:tcPr>
            <w:tcW w:w="2292"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0041E5D5">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b/>
                <w:bCs/>
                <w:sz w:val="24"/>
                <w:szCs w:val="24"/>
              </w:rPr>
              <w:t>5. 财务与投融资负责人（CFO）</w:t>
            </w:r>
          </w:p>
        </w:tc>
        <w:tc>
          <w:tcPr>
            <w:tcW w:w="4744"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083524AF">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熟悉政府项目资金、股权融资、财务报表规范。</w:t>
            </w:r>
          </w:p>
        </w:tc>
        <w:tc>
          <w:tcPr>
            <w:tcW w:w="2504"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479285D4">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医院财务部门/科技企业财务经理/创业投资顾问</w:t>
            </w:r>
          </w:p>
        </w:tc>
      </w:tr>
    </w:tbl>
    <w:p w14:paraId="6E7DF476">
      <w:pPr>
        <w:pStyle w:val="4"/>
        <w:keepNext w:val="0"/>
        <w:keepLines w:val="0"/>
        <w:widowControl/>
        <w:suppressLineNumbers w:val="0"/>
        <w:rPr>
          <w:rFonts w:hint="eastAsia" w:ascii="华文楷体" w:hAnsi="华文楷体" w:eastAsia="华文楷体" w:cs="华文楷体"/>
        </w:rPr>
      </w:pPr>
      <w:r>
        <w:rPr>
          <w:rFonts w:hint="eastAsia" w:ascii="华文楷体" w:hAnsi="华文楷体" w:eastAsia="华文楷体" w:cs="华文楷体"/>
        </w:rPr>
        <w:t>二、研发技术层（公司核心产能层）</w:t>
      </w:r>
    </w:p>
    <w:tbl>
      <w:tblPr>
        <w:tblStyle w:val="34"/>
        <w:tblW w:w="0" w:type="auto"/>
        <w:tblInd w:w="0" w:type="dxa"/>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343"/>
        <w:gridCol w:w="2189"/>
        <w:gridCol w:w="3337"/>
        <w:gridCol w:w="1931"/>
      </w:tblGrid>
      <w:tr w14:paraId="2084F5DA">
        <w:tblPrEx>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tblCellMar>
            <w:top w:w="0" w:type="dxa"/>
            <w:left w:w="0" w:type="dxa"/>
            <w:bottom w:w="0" w:type="dxa"/>
            <w:right w:w="0" w:type="dxa"/>
          </w:tblCellMar>
        </w:tblPrEx>
        <w:tc>
          <w:tcPr>
            <w:tcW w:w="1343"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17DF107D">
            <w:pPr>
              <w:pStyle w:val="31"/>
              <w:keepNext w:val="0"/>
              <w:keepLines w:val="0"/>
              <w:widowControl/>
              <w:suppressLineNumbers w:val="0"/>
              <w:spacing w:before="0" w:beforeAutospacing="0" w:after="200" w:afterAutospacing="0"/>
              <w:jc w:val="center"/>
              <w:rPr>
                <w:rFonts w:ascii="华文楷体" w:hAnsi="华文楷体" w:eastAsia="华文楷体" w:cs="华文楷体"/>
                <w:sz w:val="24"/>
                <w:szCs w:val="24"/>
              </w:rPr>
            </w:pPr>
            <w:r>
              <w:rPr>
                <w:rFonts w:hint="eastAsia" w:ascii="华文楷体" w:hAnsi="华文楷体" w:eastAsia="华文楷体" w:cs="华文楷体"/>
                <w:b/>
                <w:bCs/>
                <w:sz w:val="24"/>
                <w:szCs w:val="24"/>
              </w:rPr>
              <w:t>领域方向</w:t>
            </w:r>
          </w:p>
        </w:tc>
        <w:tc>
          <w:tcPr>
            <w:tcW w:w="2189"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3DED8CBB">
            <w:pPr>
              <w:pStyle w:val="31"/>
              <w:keepNext w:val="0"/>
              <w:keepLines w:val="0"/>
              <w:widowControl/>
              <w:suppressLineNumbers w:val="0"/>
              <w:spacing w:before="0" w:beforeAutospacing="0" w:after="200" w:afterAutospacing="0"/>
              <w:jc w:val="center"/>
              <w:rPr>
                <w:rFonts w:hint="eastAsia" w:ascii="华文楷体" w:hAnsi="华文楷体" w:eastAsia="华文楷体" w:cs="华文楷体"/>
                <w:sz w:val="24"/>
                <w:szCs w:val="24"/>
              </w:rPr>
            </w:pPr>
            <w:r>
              <w:rPr>
                <w:rFonts w:hint="eastAsia" w:ascii="华文楷体" w:hAnsi="华文楷体" w:eastAsia="华文楷体" w:cs="华文楷体"/>
                <w:b/>
                <w:bCs/>
                <w:sz w:val="24"/>
                <w:szCs w:val="24"/>
              </w:rPr>
              <w:t>岗位类别</w:t>
            </w:r>
          </w:p>
        </w:tc>
        <w:tc>
          <w:tcPr>
            <w:tcW w:w="3337"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3E1FB2EF">
            <w:pPr>
              <w:pStyle w:val="31"/>
              <w:keepNext w:val="0"/>
              <w:keepLines w:val="0"/>
              <w:widowControl/>
              <w:suppressLineNumbers w:val="0"/>
              <w:spacing w:before="0" w:beforeAutospacing="0" w:after="200" w:afterAutospacing="0"/>
              <w:jc w:val="center"/>
              <w:rPr>
                <w:rFonts w:hint="eastAsia" w:ascii="华文楷体" w:hAnsi="华文楷体" w:eastAsia="华文楷体" w:cs="华文楷体"/>
                <w:sz w:val="24"/>
                <w:szCs w:val="24"/>
              </w:rPr>
            </w:pPr>
            <w:r>
              <w:rPr>
                <w:rFonts w:hint="eastAsia" w:ascii="华文楷体" w:hAnsi="华文楷体" w:eastAsia="华文楷体" w:cs="华文楷体"/>
                <w:b/>
                <w:bCs/>
                <w:sz w:val="24"/>
                <w:szCs w:val="24"/>
              </w:rPr>
              <w:t>职责与任务</w:t>
            </w:r>
          </w:p>
        </w:tc>
        <w:tc>
          <w:tcPr>
            <w:tcW w:w="1931"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338C7502">
            <w:pPr>
              <w:pStyle w:val="31"/>
              <w:keepNext w:val="0"/>
              <w:keepLines w:val="0"/>
              <w:widowControl/>
              <w:suppressLineNumbers w:val="0"/>
              <w:spacing w:before="0" w:beforeAutospacing="0" w:after="200" w:afterAutospacing="0"/>
              <w:jc w:val="center"/>
              <w:rPr>
                <w:rFonts w:hint="eastAsia" w:ascii="华文楷体" w:hAnsi="华文楷体" w:eastAsia="华文楷体" w:cs="华文楷体"/>
                <w:sz w:val="24"/>
                <w:szCs w:val="24"/>
              </w:rPr>
            </w:pPr>
            <w:r>
              <w:rPr>
                <w:rFonts w:hint="eastAsia" w:ascii="华文楷体" w:hAnsi="华文楷体" w:eastAsia="华文楷体" w:cs="华文楷体"/>
                <w:b/>
                <w:bCs/>
                <w:sz w:val="24"/>
                <w:szCs w:val="24"/>
              </w:rPr>
              <w:t>建议来源</w:t>
            </w:r>
          </w:p>
        </w:tc>
      </w:tr>
      <w:tr w14:paraId="4391CC79">
        <w:tblPrEx>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tblCellMar>
            <w:top w:w="0" w:type="dxa"/>
            <w:left w:w="0" w:type="dxa"/>
            <w:bottom w:w="0" w:type="dxa"/>
            <w:right w:w="0" w:type="dxa"/>
          </w:tblCellMar>
        </w:tblPrEx>
        <w:tc>
          <w:tcPr>
            <w:tcW w:w="1343" w:type="dxa"/>
            <w:vMerge w:val="restart"/>
            <w:tcBorders>
              <w:top w:val="single" w:color="A3A3A3" w:sz="8" w:space="0"/>
              <w:left w:val="single" w:color="A3A3A3" w:sz="8" w:space="0"/>
              <w:right w:val="single" w:color="A3A3A3" w:sz="8" w:space="0"/>
            </w:tcBorders>
            <w:shd w:val="clear" w:color="auto" w:fill="auto"/>
            <w:tcMar>
              <w:top w:w="80" w:type="dxa"/>
              <w:left w:w="80" w:type="dxa"/>
              <w:bottom w:w="80" w:type="dxa"/>
              <w:right w:w="80" w:type="dxa"/>
            </w:tcMar>
            <w:vAlign w:val="center"/>
          </w:tcPr>
          <w:p w14:paraId="6FE6FF8B">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b/>
                <w:bCs/>
                <w:sz w:val="24"/>
                <w:szCs w:val="24"/>
              </w:rPr>
              <w:t>机械与控制系统</w:t>
            </w:r>
          </w:p>
        </w:tc>
        <w:tc>
          <w:tcPr>
            <w:tcW w:w="2189"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30569B3E">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1. 机械设计工程师</w:t>
            </w:r>
          </w:p>
        </w:tc>
        <w:tc>
          <w:tcPr>
            <w:tcW w:w="3337"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180F5CF8">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负责手术机器人机械臂、蛇形胃肠镜机构设计、传动系统优化</w:t>
            </w:r>
          </w:p>
        </w:tc>
        <w:tc>
          <w:tcPr>
            <w:tcW w:w="1931"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7041C1F6">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西交大机械学院、哈工大机电所</w:t>
            </w:r>
          </w:p>
        </w:tc>
      </w:tr>
      <w:tr w14:paraId="428B805A">
        <w:tblPrEx>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tblCellMar>
            <w:top w:w="0" w:type="dxa"/>
            <w:left w:w="0" w:type="dxa"/>
            <w:bottom w:w="0" w:type="dxa"/>
            <w:right w:w="0" w:type="dxa"/>
          </w:tblCellMar>
        </w:tblPrEx>
        <w:tc>
          <w:tcPr>
            <w:tcW w:w="1343" w:type="dxa"/>
            <w:vMerge w:val="continue"/>
            <w:tcBorders>
              <w:left w:val="single" w:color="A3A3A3" w:sz="8" w:space="0"/>
              <w:right w:val="single" w:color="A3A3A3" w:sz="8" w:space="0"/>
            </w:tcBorders>
            <w:shd w:val="clear" w:color="auto" w:fill="auto"/>
            <w:tcMar>
              <w:top w:w="80" w:type="dxa"/>
              <w:left w:w="80" w:type="dxa"/>
              <w:bottom w:w="80" w:type="dxa"/>
              <w:right w:w="80" w:type="dxa"/>
            </w:tcMar>
            <w:vAlign w:val="center"/>
          </w:tcPr>
          <w:p w14:paraId="647DF4B6">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p>
        </w:tc>
        <w:tc>
          <w:tcPr>
            <w:tcW w:w="2189"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46CD8B3D">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2. 控制算法工程师</w:t>
            </w:r>
          </w:p>
        </w:tc>
        <w:tc>
          <w:tcPr>
            <w:tcW w:w="3337"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1F52656E">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负责主从控制、力反馈、误差补偿、协作算法</w:t>
            </w:r>
          </w:p>
        </w:tc>
        <w:tc>
          <w:tcPr>
            <w:tcW w:w="1931"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40FBC005">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机器人控制方向博士或工程师</w:t>
            </w:r>
          </w:p>
        </w:tc>
      </w:tr>
      <w:tr w14:paraId="79DD9AB4">
        <w:tblPrEx>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tblCellMar>
            <w:top w:w="0" w:type="dxa"/>
            <w:left w:w="0" w:type="dxa"/>
            <w:bottom w:w="0" w:type="dxa"/>
            <w:right w:w="0" w:type="dxa"/>
          </w:tblCellMar>
        </w:tblPrEx>
        <w:tc>
          <w:tcPr>
            <w:tcW w:w="1343" w:type="dxa"/>
            <w:vMerge w:val="continue"/>
            <w:tcBorders>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433F08C2">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p>
        </w:tc>
        <w:tc>
          <w:tcPr>
            <w:tcW w:w="2189"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0E47FB98">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3. 仿真与CAE分析师</w:t>
            </w:r>
          </w:p>
        </w:tc>
        <w:tc>
          <w:tcPr>
            <w:tcW w:w="3337"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719B9D31">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进行运动学、动力学仿真、结构应力分析</w:t>
            </w:r>
          </w:p>
        </w:tc>
        <w:tc>
          <w:tcPr>
            <w:tcW w:w="1931"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27F30EEC">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西交大/华工CAE实验室</w:t>
            </w:r>
          </w:p>
        </w:tc>
      </w:tr>
      <w:tr w14:paraId="1657A568">
        <w:tblPrEx>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tblCellMar>
            <w:top w:w="0" w:type="dxa"/>
            <w:left w:w="0" w:type="dxa"/>
            <w:bottom w:w="0" w:type="dxa"/>
            <w:right w:w="0" w:type="dxa"/>
          </w:tblCellMar>
        </w:tblPrEx>
        <w:tc>
          <w:tcPr>
            <w:tcW w:w="1343" w:type="dxa"/>
            <w:vMerge w:val="restart"/>
            <w:tcBorders>
              <w:top w:val="single" w:color="A3A3A3" w:sz="8" w:space="0"/>
              <w:left w:val="single" w:color="A3A3A3" w:sz="8" w:space="0"/>
              <w:right w:val="single" w:color="A3A3A3" w:sz="8" w:space="0"/>
            </w:tcBorders>
            <w:shd w:val="clear" w:color="auto" w:fill="auto"/>
            <w:tcMar>
              <w:top w:w="80" w:type="dxa"/>
              <w:left w:w="80" w:type="dxa"/>
              <w:bottom w:w="80" w:type="dxa"/>
              <w:right w:w="80" w:type="dxa"/>
            </w:tcMar>
            <w:vAlign w:val="center"/>
          </w:tcPr>
          <w:p w14:paraId="349AC5CF">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b/>
                <w:bCs/>
                <w:sz w:val="24"/>
                <w:szCs w:val="24"/>
              </w:rPr>
              <w:t>电子与传感系统</w:t>
            </w:r>
          </w:p>
        </w:tc>
        <w:tc>
          <w:tcPr>
            <w:tcW w:w="2189"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4E9D888E">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4. 硬件电控工程师</w:t>
            </w:r>
          </w:p>
        </w:tc>
        <w:tc>
          <w:tcPr>
            <w:tcW w:w="3337"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158483EE">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设计控制电路、伺服驱动、电机反馈模块</w:t>
            </w:r>
          </w:p>
        </w:tc>
        <w:tc>
          <w:tcPr>
            <w:tcW w:w="1931"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67696AE0">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自动化、电气工程背景</w:t>
            </w:r>
          </w:p>
        </w:tc>
      </w:tr>
      <w:tr w14:paraId="3CA879AC">
        <w:tblPrEx>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tblCellMar>
            <w:top w:w="0" w:type="dxa"/>
            <w:left w:w="0" w:type="dxa"/>
            <w:bottom w:w="0" w:type="dxa"/>
            <w:right w:w="0" w:type="dxa"/>
          </w:tblCellMar>
        </w:tblPrEx>
        <w:tc>
          <w:tcPr>
            <w:tcW w:w="1343" w:type="dxa"/>
            <w:vMerge w:val="continue"/>
            <w:tcBorders>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0896589C">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p>
        </w:tc>
        <w:tc>
          <w:tcPr>
            <w:tcW w:w="2189"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21F8F929">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5. 传感与信号采集工程师</w:t>
            </w:r>
          </w:p>
        </w:tc>
        <w:tc>
          <w:tcPr>
            <w:tcW w:w="3337"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7C95EB81">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开发力传感、压力/温度/光纤感知系统</w:t>
            </w:r>
          </w:p>
        </w:tc>
        <w:tc>
          <w:tcPr>
            <w:tcW w:w="1931"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5CDCA0CA">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光电信息、传感技术方向</w:t>
            </w:r>
          </w:p>
        </w:tc>
      </w:tr>
      <w:tr w14:paraId="441F5A70">
        <w:tblPrEx>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shd w:val="clear" w:color="auto" w:fill="auto"/>
          <w:tblCellMar>
            <w:top w:w="0" w:type="dxa"/>
            <w:left w:w="0" w:type="dxa"/>
            <w:bottom w:w="0" w:type="dxa"/>
            <w:right w:w="0" w:type="dxa"/>
          </w:tblCellMar>
        </w:tblPrEx>
        <w:tc>
          <w:tcPr>
            <w:tcW w:w="1343" w:type="dxa"/>
            <w:vMerge w:val="restart"/>
            <w:tcBorders>
              <w:top w:val="single" w:color="A3A3A3" w:sz="8" w:space="0"/>
              <w:left w:val="single" w:color="A3A3A3" w:sz="8" w:space="0"/>
              <w:right w:val="single" w:color="A3A3A3" w:sz="8" w:space="0"/>
            </w:tcBorders>
            <w:shd w:val="clear" w:color="auto" w:fill="auto"/>
            <w:tcMar>
              <w:top w:w="80" w:type="dxa"/>
              <w:left w:w="80" w:type="dxa"/>
              <w:bottom w:w="80" w:type="dxa"/>
              <w:right w:w="80" w:type="dxa"/>
            </w:tcMar>
            <w:vAlign w:val="center"/>
          </w:tcPr>
          <w:p w14:paraId="721CBA0D">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b/>
                <w:bCs/>
                <w:sz w:val="24"/>
                <w:szCs w:val="24"/>
              </w:rPr>
              <w:t>AI与软件系统</w:t>
            </w:r>
          </w:p>
        </w:tc>
        <w:tc>
          <w:tcPr>
            <w:tcW w:w="2189"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60B1252C">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6. 软件架构师</w:t>
            </w:r>
          </w:p>
        </w:tc>
        <w:tc>
          <w:tcPr>
            <w:tcW w:w="3337"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0231E8E9">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负责机器人控制软件、界面系统与平台集成</w:t>
            </w:r>
          </w:p>
        </w:tc>
        <w:tc>
          <w:tcPr>
            <w:tcW w:w="1931"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3E257414">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具医疗软件经验的软件工程师</w:t>
            </w:r>
          </w:p>
        </w:tc>
      </w:tr>
      <w:tr w14:paraId="72DFDBF1">
        <w:tblPrEx>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tblCellMar>
            <w:top w:w="0" w:type="dxa"/>
            <w:left w:w="0" w:type="dxa"/>
            <w:bottom w:w="0" w:type="dxa"/>
            <w:right w:w="0" w:type="dxa"/>
          </w:tblCellMar>
        </w:tblPrEx>
        <w:tc>
          <w:tcPr>
            <w:tcW w:w="1343" w:type="dxa"/>
            <w:vMerge w:val="continue"/>
            <w:tcBorders>
              <w:left w:val="single" w:color="A3A3A3" w:sz="8" w:space="0"/>
              <w:right w:val="single" w:color="A3A3A3" w:sz="8" w:space="0"/>
            </w:tcBorders>
            <w:shd w:val="clear" w:color="auto" w:fill="auto"/>
            <w:tcMar>
              <w:top w:w="80" w:type="dxa"/>
              <w:left w:w="80" w:type="dxa"/>
              <w:bottom w:w="80" w:type="dxa"/>
              <w:right w:w="80" w:type="dxa"/>
            </w:tcMar>
            <w:vAlign w:val="center"/>
          </w:tcPr>
          <w:p w14:paraId="71083CBF">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p>
        </w:tc>
        <w:tc>
          <w:tcPr>
            <w:tcW w:w="2189"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41E5F007">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7. AI算法工程师</w:t>
            </w:r>
          </w:p>
        </w:tc>
        <w:tc>
          <w:tcPr>
            <w:tcW w:w="3337"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2331235D">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开发C-EMR语义理解、具身智能行为规划模型</w:t>
            </w:r>
          </w:p>
        </w:tc>
        <w:tc>
          <w:tcPr>
            <w:tcW w:w="1931"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169B8CE8">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计算机视觉、自然语言处理专家</w:t>
            </w:r>
          </w:p>
        </w:tc>
      </w:tr>
      <w:tr w14:paraId="58B1D357">
        <w:tblPrEx>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tblCellMar>
            <w:top w:w="0" w:type="dxa"/>
            <w:left w:w="0" w:type="dxa"/>
            <w:bottom w:w="0" w:type="dxa"/>
            <w:right w:w="0" w:type="dxa"/>
          </w:tblCellMar>
        </w:tblPrEx>
        <w:tc>
          <w:tcPr>
            <w:tcW w:w="1343" w:type="dxa"/>
            <w:vMerge w:val="continue"/>
            <w:tcBorders>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1CD94166">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p>
        </w:tc>
        <w:tc>
          <w:tcPr>
            <w:tcW w:w="2189"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541EAA3D">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8. 数据工程师</w:t>
            </w:r>
          </w:p>
        </w:tc>
        <w:tc>
          <w:tcPr>
            <w:tcW w:w="3337"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1250DA5D">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负责C-EMR数据结构、FHIR接口、知识图谱构建</w:t>
            </w:r>
          </w:p>
        </w:tc>
        <w:tc>
          <w:tcPr>
            <w:tcW w:w="1931"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4F3F157E">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医学信息工程、数据科学背景</w:t>
            </w:r>
          </w:p>
        </w:tc>
      </w:tr>
      <w:tr w14:paraId="12740AD0">
        <w:tblPrEx>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tblCellMar>
            <w:top w:w="0" w:type="dxa"/>
            <w:left w:w="0" w:type="dxa"/>
            <w:bottom w:w="0" w:type="dxa"/>
            <w:right w:w="0" w:type="dxa"/>
          </w:tblCellMar>
        </w:tblPrEx>
        <w:tc>
          <w:tcPr>
            <w:tcW w:w="1343" w:type="dxa"/>
            <w:vMerge w:val="restart"/>
            <w:tcBorders>
              <w:top w:val="single" w:color="A3A3A3" w:sz="8" w:space="0"/>
              <w:left w:val="single" w:color="A3A3A3" w:sz="8" w:space="0"/>
              <w:right w:val="single" w:color="A3A3A3" w:sz="8" w:space="0"/>
            </w:tcBorders>
            <w:shd w:val="clear" w:color="auto" w:fill="auto"/>
            <w:tcMar>
              <w:top w:w="80" w:type="dxa"/>
              <w:left w:w="80" w:type="dxa"/>
              <w:bottom w:w="80" w:type="dxa"/>
              <w:right w:w="80" w:type="dxa"/>
            </w:tcMar>
            <w:vAlign w:val="center"/>
          </w:tcPr>
          <w:p w14:paraId="3A4CD89E">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b/>
                <w:bCs/>
                <w:sz w:val="24"/>
                <w:szCs w:val="24"/>
              </w:rPr>
              <w:t>人机交互与设计</w:t>
            </w:r>
          </w:p>
        </w:tc>
        <w:tc>
          <w:tcPr>
            <w:tcW w:w="2189"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5323F091">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9. 人机工效与交互设计师（HMI）</w:t>
            </w:r>
          </w:p>
        </w:tc>
        <w:tc>
          <w:tcPr>
            <w:tcW w:w="3337"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5D3BF684">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优化手术操作手柄、界面交互体验</w:t>
            </w:r>
          </w:p>
        </w:tc>
        <w:tc>
          <w:tcPr>
            <w:tcW w:w="1931"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38CAF71F">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工业设计、认知科学方向</w:t>
            </w:r>
          </w:p>
        </w:tc>
      </w:tr>
      <w:tr w14:paraId="674E547B">
        <w:tblPrEx>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shd w:val="clear" w:color="auto" w:fill="auto"/>
          <w:tblCellMar>
            <w:top w:w="0" w:type="dxa"/>
            <w:left w:w="0" w:type="dxa"/>
            <w:bottom w:w="0" w:type="dxa"/>
            <w:right w:w="0" w:type="dxa"/>
          </w:tblCellMar>
        </w:tblPrEx>
        <w:tc>
          <w:tcPr>
            <w:tcW w:w="1343" w:type="dxa"/>
            <w:vMerge w:val="continue"/>
            <w:tcBorders>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5B79D645">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p>
        </w:tc>
        <w:tc>
          <w:tcPr>
            <w:tcW w:w="2189"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534D1303">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10. 材料工程师</w:t>
            </w:r>
          </w:p>
        </w:tc>
        <w:tc>
          <w:tcPr>
            <w:tcW w:w="3337"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7CEDC47B">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医用材料、柔性部件、生物兼容测试</w:t>
            </w:r>
          </w:p>
        </w:tc>
        <w:tc>
          <w:tcPr>
            <w:tcW w:w="1931"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781560B6">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医工或材料科学背景</w:t>
            </w:r>
          </w:p>
        </w:tc>
      </w:tr>
    </w:tbl>
    <w:p w14:paraId="38B30F1C">
      <w:pPr>
        <w:pStyle w:val="4"/>
        <w:keepNext w:val="0"/>
        <w:keepLines w:val="0"/>
        <w:widowControl/>
        <w:suppressLineNumbers w:val="0"/>
        <w:rPr>
          <w:rFonts w:hint="eastAsia" w:ascii="华文楷体" w:hAnsi="华文楷体" w:eastAsia="华文楷体" w:cs="华文楷体"/>
        </w:rPr>
      </w:pPr>
      <w:r>
        <w:rPr>
          <w:rFonts w:hint="eastAsia" w:ascii="华文楷体" w:hAnsi="华文楷体" w:eastAsia="华文楷体" w:cs="华文楷体"/>
        </w:rPr>
        <w:t>三、注册与质量体系层（确保成果合法落地）</w:t>
      </w:r>
    </w:p>
    <w:tbl>
      <w:tblPr>
        <w:tblStyle w:val="34"/>
        <w:tblW w:w="0" w:type="auto"/>
        <w:tblInd w:w="0" w:type="dxa"/>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3180"/>
        <w:gridCol w:w="3108"/>
        <w:gridCol w:w="2512"/>
      </w:tblGrid>
      <w:tr w14:paraId="20DF4DD6">
        <w:tblPrEx>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tblCellMar>
            <w:top w:w="0" w:type="dxa"/>
            <w:left w:w="0" w:type="dxa"/>
            <w:bottom w:w="0" w:type="dxa"/>
            <w:right w:w="0" w:type="dxa"/>
          </w:tblCellMar>
        </w:tblPrEx>
        <w:tc>
          <w:tcPr>
            <w:tcW w:w="3351"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35F2E180">
            <w:pPr>
              <w:pStyle w:val="31"/>
              <w:keepNext w:val="0"/>
              <w:keepLines w:val="0"/>
              <w:widowControl/>
              <w:suppressLineNumbers w:val="0"/>
              <w:spacing w:before="0" w:beforeAutospacing="0" w:after="200" w:afterAutospacing="0"/>
              <w:jc w:val="center"/>
              <w:rPr>
                <w:rFonts w:ascii="华文楷体" w:hAnsi="华文楷体" w:eastAsia="华文楷体" w:cs="华文楷体"/>
                <w:sz w:val="24"/>
                <w:szCs w:val="24"/>
              </w:rPr>
            </w:pPr>
            <w:r>
              <w:rPr>
                <w:rFonts w:hint="eastAsia" w:ascii="华文楷体" w:hAnsi="华文楷体" w:eastAsia="华文楷体" w:cs="华文楷体"/>
                <w:b/>
                <w:bCs/>
                <w:sz w:val="24"/>
                <w:szCs w:val="24"/>
              </w:rPr>
              <w:t>岗位类别</w:t>
            </w:r>
          </w:p>
        </w:tc>
        <w:tc>
          <w:tcPr>
            <w:tcW w:w="3468"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77C19A9C">
            <w:pPr>
              <w:pStyle w:val="31"/>
              <w:keepNext w:val="0"/>
              <w:keepLines w:val="0"/>
              <w:widowControl/>
              <w:suppressLineNumbers w:val="0"/>
              <w:spacing w:before="0" w:beforeAutospacing="0" w:after="200" w:afterAutospacing="0"/>
              <w:jc w:val="center"/>
              <w:rPr>
                <w:rFonts w:hint="eastAsia" w:ascii="华文楷体" w:hAnsi="华文楷体" w:eastAsia="华文楷体" w:cs="华文楷体"/>
                <w:sz w:val="24"/>
                <w:szCs w:val="24"/>
              </w:rPr>
            </w:pPr>
            <w:r>
              <w:rPr>
                <w:rFonts w:hint="eastAsia" w:ascii="华文楷体" w:hAnsi="华文楷体" w:eastAsia="华文楷体" w:cs="华文楷体"/>
                <w:b/>
                <w:bCs/>
                <w:sz w:val="24"/>
                <w:szCs w:val="24"/>
              </w:rPr>
              <w:t>典型职责</w:t>
            </w:r>
          </w:p>
        </w:tc>
        <w:tc>
          <w:tcPr>
            <w:tcW w:w="2694"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03ECA2B3">
            <w:pPr>
              <w:pStyle w:val="31"/>
              <w:keepNext w:val="0"/>
              <w:keepLines w:val="0"/>
              <w:widowControl/>
              <w:suppressLineNumbers w:val="0"/>
              <w:spacing w:before="0" w:beforeAutospacing="0" w:after="200" w:afterAutospacing="0"/>
              <w:jc w:val="center"/>
              <w:rPr>
                <w:rFonts w:hint="eastAsia" w:ascii="华文楷体" w:hAnsi="华文楷体" w:eastAsia="华文楷体" w:cs="华文楷体"/>
                <w:sz w:val="24"/>
                <w:szCs w:val="24"/>
              </w:rPr>
            </w:pPr>
            <w:r>
              <w:rPr>
                <w:rFonts w:hint="eastAsia" w:ascii="华文楷体" w:hAnsi="华文楷体" w:eastAsia="华文楷体" w:cs="华文楷体"/>
                <w:b/>
                <w:bCs/>
                <w:sz w:val="24"/>
                <w:szCs w:val="24"/>
              </w:rPr>
              <w:t>积累方向</w:t>
            </w:r>
          </w:p>
        </w:tc>
      </w:tr>
      <w:tr w14:paraId="25E57A26">
        <w:tblPrEx>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shd w:val="clear" w:color="auto" w:fill="auto"/>
          <w:tblCellMar>
            <w:top w:w="0" w:type="dxa"/>
            <w:left w:w="0" w:type="dxa"/>
            <w:bottom w:w="0" w:type="dxa"/>
            <w:right w:w="0" w:type="dxa"/>
          </w:tblCellMar>
        </w:tblPrEx>
        <w:tc>
          <w:tcPr>
            <w:tcW w:w="3351"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31BECA50">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b/>
                <w:bCs/>
                <w:sz w:val="24"/>
                <w:szCs w:val="24"/>
              </w:rPr>
              <w:t>1. 医疗器械注册法规专员</w:t>
            </w:r>
          </w:p>
        </w:tc>
        <w:tc>
          <w:tcPr>
            <w:tcW w:w="3468"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3E86949E">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负责NMPA注册、临床试验备案、产品分类申报</w:t>
            </w:r>
          </w:p>
        </w:tc>
        <w:tc>
          <w:tcPr>
            <w:tcW w:w="2843"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12CC9B6F">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从事医疗器械注册咨询或企业注册专员</w:t>
            </w:r>
          </w:p>
        </w:tc>
      </w:tr>
      <w:tr w14:paraId="1B8F92F1">
        <w:tblPrEx>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shd w:val="clear" w:color="auto" w:fill="auto"/>
          <w:tblCellMar>
            <w:top w:w="0" w:type="dxa"/>
            <w:left w:w="0" w:type="dxa"/>
            <w:bottom w:w="0" w:type="dxa"/>
            <w:right w:w="0" w:type="dxa"/>
          </w:tblCellMar>
        </w:tblPrEx>
        <w:tc>
          <w:tcPr>
            <w:tcW w:w="3351"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7AFB5865">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b/>
                <w:bCs/>
                <w:sz w:val="24"/>
                <w:szCs w:val="24"/>
              </w:rPr>
              <w:t>2. 临床试验与伦理协调专员</w:t>
            </w:r>
          </w:p>
        </w:tc>
        <w:tc>
          <w:tcPr>
            <w:tcW w:w="3468"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6A236E75">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负责多中心临床研究设计与伦理资料整理</w:t>
            </w:r>
          </w:p>
        </w:tc>
        <w:tc>
          <w:tcPr>
            <w:tcW w:w="2843"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55346BCC">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医院科研办、伦理委员会成员</w:t>
            </w:r>
          </w:p>
        </w:tc>
      </w:tr>
      <w:tr w14:paraId="5C22F0AD">
        <w:tblPrEx>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shd w:val="clear" w:color="auto" w:fill="auto"/>
          <w:tblCellMar>
            <w:top w:w="0" w:type="dxa"/>
            <w:left w:w="0" w:type="dxa"/>
            <w:bottom w:w="0" w:type="dxa"/>
            <w:right w:w="0" w:type="dxa"/>
          </w:tblCellMar>
        </w:tblPrEx>
        <w:tc>
          <w:tcPr>
            <w:tcW w:w="3351"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58AC0B77">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b/>
                <w:bCs/>
                <w:sz w:val="24"/>
                <w:szCs w:val="24"/>
              </w:rPr>
              <w:t>3. 质量体系与合规工程师（QMS/ISO13485）</w:t>
            </w:r>
          </w:p>
        </w:tc>
        <w:tc>
          <w:tcPr>
            <w:tcW w:w="3468"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4C61638B">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建立企业质量体系、CE/FDA标准导入</w:t>
            </w:r>
          </w:p>
        </w:tc>
        <w:tc>
          <w:tcPr>
            <w:tcW w:w="2843"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2AC80B5B">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医疗器械企业质量负责人</w:t>
            </w:r>
          </w:p>
        </w:tc>
      </w:tr>
      <w:tr w14:paraId="5DA06495">
        <w:tblPrEx>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shd w:val="clear" w:color="auto" w:fill="auto"/>
          <w:tblCellMar>
            <w:top w:w="0" w:type="dxa"/>
            <w:left w:w="0" w:type="dxa"/>
            <w:bottom w:w="0" w:type="dxa"/>
            <w:right w:w="0" w:type="dxa"/>
          </w:tblCellMar>
        </w:tblPrEx>
        <w:tc>
          <w:tcPr>
            <w:tcW w:w="3351"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2D8AA79D">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b/>
                <w:bCs/>
                <w:sz w:val="24"/>
                <w:szCs w:val="24"/>
              </w:rPr>
              <w:t>4. 法务与知识产权顾问</w:t>
            </w:r>
          </w:p>
        </w:tc>
        <w:tc>
          <w:tcPr>
            <w:tcW w:w="3468"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3C6DF280">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专利撰写、权属谈判、技术保密协议</w:t>
            </w:r>
          </w:p>
        </w:tc>
        <w:tc>
          <w:tcPr>
            <w:tcW w:w="2843"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6161F41D">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知识产权律师事务所或专利代理师</w:t>
            </w:r>
          </w:p>
        </w:tc>
      </w:tr>
    </w:tbl>
    <w:p w14:paraId="0C2C50A4">
      <w:pPr>
        <w:pStyle w:val="4"/>
        <w:keepNext w:val="0"/>
        <w:keepLines w:val="0"/>
        <w:widowControl/>
        <w:suppressLineNumbers w:val="0"/>
        <w:rPr>
          <w:rFonts w:hint="eastAsia" w:ascii="华文楷体" w:hAnsi="华文楷体" w:eastAsia="华文楷体" w:cs="华文楷体"/>
        </w:rPr>
      </w:pPr>
      <w:r>
        <w:rPr>
          <w:rFonts w:hint="eastAsia" w:ascii="华文楷体" w:hAnsi="华文楷体" w:eastAsia="华文楷体" w:cs="华文楷体"/>
        </w:rPr>
        <w:t>四、转化与产业化层（连接科研与市场）</w:t>
      </w:r>
    </w:p>
    <w:tbl>
      <w:tblPr>
        <w:tblStyle w:val="34"/>
        <w:tblW w:w="0" w:type="auto"/>
        <w:tblInd w:w="0" w:type="dxa"/>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3253"/>
        <w:gridCol w:w="3196"/>
        <w:gridCol w:w="2351"/>
      </w:tblGrid>
      <w:tr w14:paraId="189C58B9">
        <w:tblPrEx>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tblCellMar>
            <w:top w:w="0" w:type="dxa"/>
            <w:left w:w="0" w:type="dxa"/>
            <w:bottom w:w="0" w:type="dxa"/>
            <w:right w:w="0" w:type="dxa"/>
          </w:tblCellMar>
        </w:tblPrEx>
        <w:tc>
          <w:tcPr>
            <w:tcW w:w="3488"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431A449B">
            <w:pPr>
              <w:pStyle w:val="31"/>
              <w:keepNext w:val="0"/>
              <w:keepLines w:val="0"/>
              <w:widowControl/>
              <w:suppressLineNumbers w:val="0"/>
              <w:spacing w:before="0" w:beforeAutospacing="0" w:after="200" w:afterAutospacing="0"/>
              <w:jc w:val="center"/>
              <w:rPr>
                <w:rFonts w:ascii="华文楷体" w:hAnsi="华文楷体" w:eastAsia="华文楷体" w:cs="华文楷体"/>
                <w:sz w:val="24"/>
                <w:szCs w:val="24"/>
              </w:rPr>
            </w:pPr>
            <w:r>
              <w:rPr>
                <w:rFonts w:hint="eastAsia" w:ascii="华文楷体" w:hAnsi="华文楷体" w:eastAsia="华文楷体" w:cs="华文楷体"/>
                <w:b/>
                <w:bCs/>
                <w:sz w:val="24"/>
                <w:szCs w:val="24"/>
              </w:rPr>
              <w:t>岗位类别</w:t>
            </w:r>
          </w:p>
        </w:tc>
        <w:tc>
          <w:tcPr>
            <w:tcW w:w="3560"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7EB86FD3">
            <w:pPr>
              <w:pStyle w:val="31"/>
              <w:keepNext w:val="0"/>
              <w:keepLines w:val="0"/>
              <w:widowControl/>
              <w:suppressLineNumbers w:val="0"/>
              <w:spacing w:before="0" w:beforeAutospacing="0" w:after="200" w:afterAutospacing="0"/>
              <w:jc w:val="center"/>
              <w:rPr>
                <w:rFonts w:hint="eastAsia" w:ascii="华文楷体" w:hAnsi="华文楷体" w:eastAsia="华文楷体" w:cs="华文楷体"/>
                <w:sz w:val="24"/>
                <w:szCs w:val="24"/>
              </w:rPr>
            </w:pPr>
            <w:r>
              <w:rPr>
                <w:rFonts w:hint="eastAsia" w:ascii="华文楷体" w:hAnsi="华文楷体" w:eastAsia="华文楷体" w:cs="华文楷体"/>
                <w:b/>
                <w:bCs/>
                <w:sz w:val="24"/>
                <w:szCs w:val="24"/>
              </w:rPr>
              <w:t>主要任务</w:t>
            </w:r>
          </w:p>
        </w:tc>
        <w:tc>
          <w:tcPr>
            <w:tcW w:w="2466"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319C252B">
            <w:pPr>
              <w:pStyle w:val="31"/>
              <w:keepNext w:val="0"/>
              <w:keepLines w:val="0"/>
              <w:widowControl/>
              <w:suppressLineNumbers w:val="0"/>
              <w:spacing w:before="0" w:beforeAutospacing="0" w:after="200" w:afterAutospacing="0"/>
              <w:jc w:val="center"/>
              <w:rPr>
                <w:rFonts w:hint="eastAsia" w:ascii="华文楷体" w:hAnsi="华文楷体" w:eastAsia="华文楷体" w:cs="华文楷体"/>
                <w:sz w:val="24"/>
                <w:szCs w:val="24"/>
              </w:rPr>
            </w:pPr>
            <w:r>
              <w:rPr>
                <w:rFonts w:hint="eastAsia" w:ascii="华文楷体" w:hAnsi="华文楷体" w:eastAsia="华文楷体" w:cs="华文楷体"/>
                <w:b/>
                <w:bCs/>
                <w:sz w:val="24"/>
                <w:szCs w:val="24"/>
              </w:rPr>
              <w:t>积累方向</w:t>
            </w:r>
          </w:p>
        </w:tc>
      </w:tr>
      <w:tr w14:paraId="33809621">
        <w:tblPrEx>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tblCellMar>
            <w:top w:w="0" w:type="dxa"/>
            <w:left w:w="0" w:type="dxa"/>
            <w:bottom w:w="0" w:type="dxa"/>
            <w:right w:w="0" w:type="dxa"/>
          </w:tblCellMar>
        </w:tblPrEx>
        <w:tc>
          <w:tcPr>
            <w:tcW w:w="3488"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23434525">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b/>
                <w:bCs/>
                <w:sz w:val="24"/>
                <w:szCs w:val="24"/>
              </w:rPr>
              <w:t>1. 工程转化与工艺工程师</w:t>
            </w:r>
          </w:p>
        </w:tc>
        <w:tc>
          <w:tcPr>
            <w:tcW w:w="3560"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1BF5F5A6">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样机小批量制造、生产验证、供应链设计</w:t>
            </w:r>
          </w:p>
        </w:tc>
        <w:tc>
          <w:tcPr>
            <w:tcW w:w="2504"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608AEF35">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工程师/企业制造顾问</w:t>
            </w:r>
          </w:p>
        </w:tc>
      </w:tr>
      <w:tr w14:paraId="3DB122DD">
        <w:tblPrEx>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shd w:val="clear" w:color="auto" w:fill="auto"/>
          <w:tblCellMar>
            <w:top w:w="0" w:type="dxa"/>
            <w:left w:w="0" w:type="dxa"/>
            <w:bottom w:w="0" w:type="dxa"/>
            <w:right w:w="0" w:type="dxa"/>
          </w:tblCellMar>
        </w:tblPrEx>
        <w:tc>
          <w:tcPr>
            <w:tcW w:w="3516"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4734F444">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b/>
                <w:bCs/>
                <w:sz w:val="24"/>
                <w:szCs w:val="24"/>
              </w:rPr>
              <w:t>2. 注册转化协调人（Regulatory Liaison）</w:t>
            </w:r>
          </w:p>
        </w:tc>
        <w:tc>
          <w:tcPr>
            <w:tcW w:w="3560"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2C887E67">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负责院内专利与公司注册对接、成果转让</w:t>
            </w:r>
          </w:p>
        </w:tc>
        <w:tc>
          <w:tcPr>
            <w:tcW w:w="2616"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489EA159">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科研科或技术转移办公室成员</w:t>
            </w:r>
          </w:p>
        </w:tc>
      </w:tr>
      <w:tr w14:paraId="02205228">
        <w:tblPrEx>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shd w:val="clear" w:color="auto" w:fill="auto"/>
          <w:tblCellMar>
            <w:top w:w="0" w:type="dxa"/>
            <w:left w:w="0" w:type="dxa"/>
            <w:bottom w:w="0" w:type="dxa"/>
            <w:right w:w="0" w:type="dxa"/>
          </w:tblCellMar>
        </w:tblPrEx>
        <w:tc>
          <w:tcPr>
            <w:tcW w:w="3488"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5792CFF1">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b/>
                <w:bCs/>
                <w:sz w:val="24"/>
                <w:szCs w:val="24"/>
              </w:rPr>
              <w:t>3. 市场与商务拓展经理（BD）</w:t>
            </w:r>
          </w:p>
        </w:tc>
        <w:tc>
          <w:tcPr>
            <w:tcW w:w="3560"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17DF1BCE">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建立与医院、经销商、资本方的合作关系</w:t>
            </w:r>
          </w:p>
        </w:tc>
        <w:tc>
          <w:tcPr>
            <w:tcW w:w="2477"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4AC57D54">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医疗企业BD或投行医疗专员</w:t>
            </w:r>
          </w:p>
        </w:tc>
      </w:tr>
      <w:tr w14:paraId="00C9601D">
        <w:tblPrEx>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tblCellMar>
            <w:top w:w="0" w:type="dxa"/>
            <w:left w:w="0" w:type="dxa"/>
            <w:bottom w:w="0" w:type="dxa"/>
            <w:right w:w="0" w:type="dxa"/>
          </w:tblCellMar>
        </w:tblPrEx>
        <w:tc>
          <w:tcPr>
            <w:tcW w:w="3488"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5992E2DF">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b/>
                <w:bCs/>
                <w:sz w:val="24"/>
                <w:szCs w:val="24"/>
              </w:rPr>
              <w:t>4. 品牌与传播负责人</w:t>
            </w:r>
          </w:p>
        </w:tc>
        <w:tc>
          <w:tcPr>
            <w:tcW w:w="3560"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35EB06AB">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对接社会舆论、学术会议展示、市场宣传</w:t>
            </w:r>
          </w:p>
        </w:tc>
        <w:tc>
          <w:tcPr>
            <w:tcW w:w="2616"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4E4BB478">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媒体传播与品牌管理背景人才</w:t>
            </w:r>
          </w:p>
        </w:tc>
      </w:tr>
    </w:tbl>
    <w:p w14:paraId="5631D4FA">
      <w:pPr>
        <w:pStyle w:val="4"/>
        <w:keepNext w:val="0"/>
        <w:keepLines w:val="0"/>
        <w:widowControl/>
        <w:suppressLineNumbers w:val="0"/>
        <w:rPr>
          <w:rFonts w:hint="eastAsia" w:ascii="华文楷体" w:hAnsi="华文楷体" w:eastAsia="华文楷体" w:cs="华文楷体"/>
        </w:rPr>
      </w:pPr>
      <w:r>
        <w:rPr>
          <w:rFonts w:hint="eastAsia" w:ascii="华文楷体" w:hAnsi="华文楷体" w:eastAsia="华文楷体" w:cs="华文楷体"/>
        </w:rPr>
        <w:t>五、外部顾问与生态合作层（长期智库网络）</w:t>
      </w:r>
    </w:p>
    <w:tbl>
      <w:tblPr>
        <w:tblStyle w:val="34"/>
        <w:tblW w:w="0" w:type="auto"/>
        <w:tblInd w:w="0" w:type="dxa"/>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312"/>
        <w:gridCol w:w="3617"/>
        <w:gridCol w:w="2871"/>
      </w:tblGrid>
      <w:tr w14:paraId="7551796D">
        <w:tblPrEx>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shd w:val="clear" w:color="auto" w:fill="auto"/>
          <w:tblCellMar>
            <w:top w:w="0" w:type="dxa"/>
            <w:left w:w="0" w:type="dxa"/>
            <w:bottom w:w="0" w:type="dxa"/>
            <w:right w:w="0" w:type="dxa"/>
          </w:tblCellMar>
        </w:tblPrEx>
        <w:tc>
          <w:tcPr>
            <w:tcW w:w="2492"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top"/>
          </w:tcPr>
          <w:p w14:paraId="55F0561D">
            <w:pPr>
              <w:pStyle w:val="31"/>
              <w:keepNext w:val="0"/>
              <w:keepLines w:val="0"/>
              <w:widowControl/>
              <w:suppressLineNumbers w:val="0"/>
              <w:spacing w:before="0" w:beforeAutospacing="0" w:after="200" w:afterAutospacing="0"/>
              <w:jc w:val="center"/>
              <w:rPr>
                <w:rFonts w:ascii="华文楷体" w:hAnsi="华文楷体" w:eastAsia="华文楷体" w:cs="华文楷体"/>
                <w:sz w:val="24"/>
                <w:szCs w:val="24"/>
              </w:rPr>
            </w:pPr>
            <w:r>
              <w:rPr>
                <w:rFonts w:hint="eastAsia" w:ascii="华文楷体" w:hAnsi="华文楷体" w:eastAsia="华文楷体" w:cs="华文楷体"/>
                <w:b/>
                <w:bCs/>
                <w:sz w:val="24"/>
                <w:szCs w:val="24"/>
              </w:rPr>
              <w:t>顾问类别</w:t>
            </w:r>
          </w:p>
        </w:tc>
        <w:tc>
          <w:tcPr>
            <w:tcW w:w="3908"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top"/>
          </w:tcPr>
          <w:p w14:paraId="458B74F4">
            <w:pPr>
              <w:pStyle w:val="31"/>
              <w:keepNext w:val="0"/>
              <w:keepLines w:val="0"/>
              <w:widowControl/>
              <w:suppressLineNumbers w:val="0"/>
              <w:spacing w:before="0" w:beforeAutospacing="0" w:after="200" w:afterAutospacing="0"/>
              <w:jc w:val="center"/>
              <w:rPr>
                <w:rFonts w:hint="eastAsia" w:ascii="华文楷体" w:hAnsi="华文楷体" w:eastAsia="华文楷体" w:cs="华文楷体"/>
                <w:sz w:val="24"/>
                <w:szCs w:val="24"/>
              </w:rPr>
            </w:pPr>
            <w:r>
              <w:rPr>
                <w:rFonts w:hint="eastAsia" w:ascii="华文楷体" w:hAnsi="华文楷体" w:eastAsia="华文楷体" w:cs="华文楷体"/>
                <w:b/>
                <w:bCs/>
                <w:sz w:val="24"/>
                <w:szCs w:val="24"/>
              </w:rPr>
              <w:t>作用</w:t>
            </w:r>
          </w:p>
        </w:tc>
        <w:tc>
          <w:tcPr>
            <w:tcW w:w="3113"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top"/>
          </w:tcPr>
          <w:p w14:paraId="46DA86B3">
            <w:pPr>
              <w:pStyle w:val="31"/>
              <w:keepNext w:val="0"/>
              <w:keepLines w:val="0"/>
              <w:widowControl/>
              <w:suppressLineNumbers w:val="0"/>
              <w:spacing w:before="0" w:beforeAutospacing="0" w:after="200" w:afterAutospacing="0"/>
              <w:jc w:val="center"/>
              <w:rPr>
                <w:rFonts w:hint="eastAsia" w:ascii="华文楷体" w:hAnsi="华文楷体" w:eastAsia="华文楷体" w:cs="华文楷体"/>
                <w:sz w:val="24"/>
                <w:szCs w:val="24"/>
              </w:rPr>
            </w:pPr>
            <w:r>
              <w:rPr>
                <w:rFonts w:hint="eastAsia" w:ascii="华文楷体" w:hAnsi="华文楷体" w:eastAsia="华文楷体" w:cs="华文楷体"/>
                <w:b/>
                <w:bCs/>
                <w:sz w:val="24"/>
                <w:szCs w:val="24"/>
              </w:rPr>
              <w:t>典型来源</w:t>
            </w:r>
          </w:p>
        </w:tc>
      </w:tr>
      <w:tr w14:paraId="7FB53C3A">
        <w:tblPrEx>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shd w:val="clear" w:color="auto" w:fill="auto"/>
          <w:tblCellMar>
            <w:top w:w="0" w:type="dxa"/>
            <w:left w:w="0" w:type="dxa"/>
            <w:bottom w:w="0" w:type="dxa"/>
            <w:right w:w="0" w:type="dxa"/>
          </w:tblCellMar>
        </w:tblPrEx>
        <w:tc>
          <w:tcPr>
            <w:tcW w:w="2519"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30118B4B">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b/>
                <w:bCs/>
                <w:sz w:val="24"/>
                <w:szCs w:val="24"/>
              </w:rPr>
              <w:t>政策与科技项目顾问</w:t>
            </w:r>
          </w:p>
        </w:tc>
        <w:tc>
          <w:tcPr>
            <w:tcW w:w="3908"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0DBF302D">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协助申报国家、省部级项目</w:t>
            </w:r>
          </w:p>
        </w:tc>
        <w:tc>
          <w:tcPr>
            <w:tcW w:w="3113"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2925E531">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科技厅、科研服务机构</w:t>
            </w:r>
          </w:p>
        </w:tc>
      </w:tr>
      <w:tr w14:paraId="1B9FF355">
        <w:tblPrEx>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tblCellMar>
            <w:top w:w="0" w:type="dxa"/>
            <w:left w:w="0" w:type="dxa"/>
            <w:bottom w:w="0" w:type="dxa"/>
            <w:right w:w="0" w:type="dxa"/>
          </w:tblCellMar>
        </w:tblPrEx>
        <w:tc>
          <w:tcPr>
            <w:tcW w:w="2492"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079A41D5">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b/>
                <w:bCs/>
                <w:sz w:val="24"/>
                <w:szCs w:val="24"/>
              </w:rPr>
              <w:t>高校科研顾问</w:t>
            </w:r>
          </w:p>
        </w:tc>
        <w:tc>
          <w:tcPr>
            <w:tcW w:w="3908"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085AA7E2">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提供算法、结构、临床研究支持</w:t>
            </w:r>
          </w:p>
        </w:tc>
        <w:tc>
          <w:tcPr>
            <w:tcW w:w="3113"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2E6D868C">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西交大、清华、哈工大教授</w:t>
            </w:r>
          </w:p>
        </w:tc>
      </w:tr>
      <w:tr w14:paraId="6258A97C">
        <w:tblPrEx>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tblCellMar>
            <w:top w:w="0" w:type="dxa"/>
            <w:left w:w="0" w:type="dxa"/>
            <w:bottom w:w="0" w:type="dxa"/>
            <w:right w:w="0" w:type="dxa"/>
          </w:tblCellMar>
        </w:tblPrEx>
        <w:tc>
          <w:tcPr>
            <w:tcW w:w="2492"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4353A216">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b/>
                <w:bCs/>
                <w:sz w:val="24"/>
                <w:szCs w:val="24"/>
              </w:rPr>
              <w:t>产业化导师</w:t>
            </w:r>
          </w:p>
        </w:tc>
        <w:tc>
          <w:tcPr>
            <w:tcW w:w="3936"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7DC1459D">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提供注册、资本化、商业路径指导</w:t>
            </w:r>
          </w:p>
        </w:tc>
        <w:tc>
          <w:tcPr>
            <w:tcW w:w="3113"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3929BCE8">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医疗科技公司高管、创投基金合伙人</w:t>
            </w:r>
          </w:p>
        </w:tc>
      </w:tr>
      <w:tr w14:paraId="67087C6F">
        <w:tblPrEx>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tblCellMar>
            <w:top w:w="0" w:type="dxa"/>
            <w:left w:w="0" w:type="dxa"/>
            <w:bottom w:w="0" w:type="dxa"/>
            <w:right w:w="0" w:type="dxa"/>
          </w:tblCellMar>
        </w:tblPrEx>
        <w:tc>
          <w:tcPr>
            <w:tcW w:w="2492"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31CD88BC">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b/>
                <w:bCs/>
                <w:sz w:val="24"/>
                <w:szCs w:val="24"/>
              </w:rPr>
              <w:t>资本与投融资顾问</w:t>
            </w:r>
          </w:p>
        </w:tc>
        <w:tc>
          <w:tcPr>
            <w:tcW w:w="3908"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26797592">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协助资本对接、估值测算</w:t>
            </w:r>
          </w:p>
        </w:tc>
        <w:tc>
          <w:tcPr>
            <w:tcW w:w="3113"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0497D369">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医疗基金、地方科创引导基金</w:t>
            </w:r>
          </w:p>
        </w:tc>
      </w:tr>
      <w:tr w14:paraId="732FD108">
        <w:tblPrEx>
          <w:tblBorders>
            <w:top w:val="single" w:color="A3A3A3" w:sz="8" w:space="0"/>
            <w:left w:val="single" w:color="A3A3A3" w:sz="8" w:space="0"/>
            <w:bottom w:val="single" w:color="A3A3A3" w:sz="8" w:space="0"/>
            <w:right w:val="single" w:color="A3A3A3" w:sz="8" w:space="0"/>
            <w:insideH w:val="outset" w:color="auto" w:sz="6" w:space="0"/>
            <w:insideV w:val="outset" w:color="auto" w:sz="6" w:space="0"/>
          </w:tblBorders>
          <w:tblCellMar>
            <w:top w:w="0" w:type="dxa"/>
            <w:left w:w="0" w:type="dxa"/>
            <w:bottom w:w="0" w:type="dxa"/>
            <w:right w:w="0" w:type="dxa"/>
          </w:tblCellMar>
        </w:tblPrEx>
        <w:tc>
          <w:tcPr>
            <w:tcW w:w="2519"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4034EA9D">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b/>
                <w:bCs/>
                <w:sz w:val="24"/>
                <w:szCs w:val="24"/>
              </w:rPr>
              <w:t>医疗保险与医保支付顾问</w:t>
            </w:r>
          </w:p>
        </w:tc>
        <w:tc>
          <w:tcPr>
            <w:tcW w:w="3936"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35B17A1E">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为C-EMR及装备进入医保目录提供政策咨询</w:t>
            </w:r>
          </w:p>
        </w:tc>
        <w:tc>
          <w:tcPr>
            <w:tcW w:w="3113" w:type="dxa"/>
            <w:tcBorders>
              <w:top w:val="single" w:color="A3A3A3" w:sz="8" w:space="0"/>
              <w:left w:val="single" w:color="A3A3A3" w:sz="8" w:space="0"/>
              <w:bottom w:val="single" w:color="A3A3A3" w:sz="8" w:space="0"/>
              <w:right w:val="single" w:color="A3A3A3" w:sz="8" w:space="0"/>
            </w:tcBorders>
            <w:shd w:val="clear" w:color="auto" w:fill="auto"/>
            <w:tcMar>
              <w:top w:w="80" w:type="dxa"/>
              <w:left w:w="80" w:type="dxa"/>
              <w:bottom w:w="80" w:type="dxa"/>
              <w:right w:w="80" w:type="dxa"/>
            </w:tcMar>
            <w:vAlign w:val="center"/>
          </w:tcPr>
          <w:p w14:paraId="2EEBBDF7">
            <w:pPr>
              <w:pStyle w:val="31"/>
              <w:keepNext w:val="0"/>
              <w:keepLines w:val="0"/>
              <w:widowControl/>
              <w:suppressLineNumbers w:val="0"/>
              <w:spacing w:before="0" w:beforeAutospacing="0" w:after="200" w:afterAutospacing="0"/>
              <w:jc w:val="both"/>
              <w:rPr>
                <w:rFonts w:hint="eastAsia" w:ascii="华文楷体" w:hAnsi="华文楷体" w:eastAsia="华文楷体" w:cs="华文楷体"/>
                <w:sz w:val="24"/>
                <w:szCs w:val="24"/>
              </w:rPr>
            </w:pPr>
            <w:r>
              <w:rPr>
                <w:rFonts w:hint="eastAsia" w:ascii="华文楷体" w:hAnsi="华文楷体" w:eastAsia="华文楷体" w:cs="华文楷体"/>
                <w:sz w:val="24"/>
                <w:szCs w:val="24"/>
              </w:rPr>
              <w:t>医保局或医保支付领域专家</w:t>
            </w:r>
          </w:p>
        </w:tc>
      </w:tr>
    </w:tbl>
    <w:p w14:paraId="72C1B6B3">
      <w:pPr>
        <w:pStyle w:val="4"/>
        <w:keepNext w:val="0"/>
        <w:keepLines w:val="0"/>
        <w:widowControl/>
        <w:suppressLineNumbers w:val="0"/>
        <w:rPr>
          <w:rFonts w:hint="eastAsia" w:ascii="华文楷体" w:hAnsi="华文楷体" w:eastAsia="华文楷体" w:cs="华文楷体"/>
        </w:rPr>
      </w:pPr>
      <w:r>
        <w:rPr>
          <w:rFonts w:hint="eastAsia" w:ascii="华文楷体" w:hAnsi="华文楷体" w:eastAsia="华文楷体" w:cs="华文楷体"/>
        </w:rPr>
        <w:t>六、人才梯队构建与积累策略建议</w:t>
      </w:r>
    </w:p>
    <w:p w14:paraId="607D6058">
      <w:pPr>
        <w:pStyle w:val="31"/>
        <w:keepNext w:val="0"/>
        <w:keepLines w:val="0"/>
        <w:widowControl/>
        <w:numPr>
          <w:ilvl w:val="0"/>
          <w:numId w:val="14"/>
        </w:numPr>
        <w:suppressLineNumbers w:val="0"/>
        <w:ind w:left="425" w:leftChars="0" w:hanging="425" w:firstLineChars="0"/>
        <w:rPr>
          <w:rFonts w:hint="eastAsia" w:ascii="华文楷体" w:hAnsi="华文楷体" w:eastAsia="华文楷体" w:cs="华文楷体"/>
        </w:rPr>
      </w:pPr>
      <w:r>
        <w:rPr>
          <w:rStyle w:val="135"/>
          <w:rFonts w:hint="eastAsia" w:ascii="华文楷体" w:hAnsi="华文楷体" w:eastAsia="华文楷体" w:cs="华文楷体"/>
        </w:rPr>
        <w:t>“双核三圈”模式：</w:t>
      </w:r>
    </w:p>
    <w:p w14:paraId="52BD70F2">
      <w:pPr>
        <w:pStyle w:val="31"/>
        <w:keepNext w:val="0"/>
        <w:keepLines w:val="0"/>
        <w:widowControl/>
        <w:numPr>
          <w:ilvl w:val="0"/>
          <w:numId w:val="15"/>
        </w:numPr>
        <w:suppressLineNumbers w:val="0"/>
        <w:ind w:left="420" w:leftChars="0" w:hanging="420" w:firstLineChars="0"/>
        <w:rPr>
          <w:rFonts w:hint="eastAsia" w:ascii="华文楷体" w:hAnsi="华文楷体" w:eastAsia="华文楷体" w:cs="华文楷体"/>
        </w:rPr>
      </w:pPr>
      <w:r>
        <w:rPr>
          <w:rStyle w:val="135"/>
          <w:rFonts w:hint="eastAsia" w:ascii="华文楷体" w:hAnsi="华文楷体" w:eastAsia="华文楷体" w:cs="华文楷体"/>
        </w:rPr>
        <w:t>双核</w:t>
      </w:r>
      <w:r>
        <w:rPr>
          <w:rFonts w:hint="eastAsia" w:ascii="华文楷体" w:hAnsi="华文楷体" w:eastAsia="华文楷体" w:cs="华文楷体"/>
        </w:rPr>
        <w:t>：以</w:t>
      </w:r>
      <w:r>
        <w:rPr>
          <w:rFonts w:hint="eastAsia" w:ascii="华文楷体" w:hAnsi="华文楷体" w:eastAsia="华文楷体" w:cs="华文楷体"/>
          <w:lang w:val="en-US" w:eastAsia="zh-CN"/>
        </w:rPr>
        <w:t>胃肠外科</w:t>
      </w:r>
      <w:r>
        <w:rPr>
          <w:rFonts w:hint="eastAsia" w:ascii="华文楷体" w:hAnsi="华文楷体" w:eastAsia="华文楷体" w:cs="华文楷体"/>
        </w:rPr>
        <w:t>为医学核心、以工程专家为技术核心；</w:t>
      </w:r>
    </w:p>
    <w:p w14:paraId="1154311E">
      <w:pPr>
        <w:pStyle w:val="31"/>
        <w:keepNext w:val="0"/>
        <w:keepLines w:val="0"/>
        <w:widowControl/>
        <w:numPr>
          <w:ilvl w:val="0"/>
          <w:numId w:val="15"/>
        </w:numPr>
        <w:suppressLineNumbers w:val="0"/>
        <w:ind w:left="420" w:leftChars="0" w:hanging="420" w:firstLineChars="0"/>
        <w:rPr>
          <w:rFonts w:hint="eastAsia" w:ascii="华文楷体" w:hAnsi="华文楷体" w:eastAsia="华文楷体" w:cs="华文楷体"/>
        </w:rPr>
      </w:pPr>
      <w:r>
        <w:rPr>
          <w:rStyle w:val="135"/>
          <w:rFonts w:hint="eastAsia" w:ascii="华文楷体" w:hAnsi="华文楷体" w:eastAsia="华文楷体" w:cs="华文楷体"/>
        </w:rPr>
        <w:t>三圈</w:t>
      </w:r>
      <w:r>
        <w:rPr>
          <w:rFonts w:hint="eastAsia" w:ascii="华文楷体" w:hAnsi="华文楷体" w:eastAsia="华文楷体" w:cs="华文楷体"/>
        </w:rPr>
        <w:t>：院内核心团队、合作高校技术圈、产业顾问圈。</w:t>
      </w:r>
    </w:p>
    <w:p w14:paraId="5533B03E">
      <w:pPr>
        <w:pStyle w:val="31"/>
        <w:keepNext w:val="0"/>
        <w:keepLines w:val="0"/>
        <w:widowControl/>
        <w:numPr>
          <w:ilvl w:val="0"/>
          <w:numId w:val="14"/>
        </w:numPr>
        <w:suppressLineNumbers w:val="0"/>
        <w:ind w:left="425" w:leftChars="0" w:hanging="425" w:firstLineChars="0"/>
        <w:rPr>
          <w:rFonts w:hint="eastAsia" w:ascii="华文楷体" w:hAnsi="华文楷体" w:eastAsia="华文楷体" w:cs="华文楷体"/>
        </w:rPr>
      </w:pPr>
      <w:r>
        <w:rPr>
          <w:rStyle w:val="135"/>
          <w:rFonts w:hint="eastAsia" w:ascii="华文楷体" w:hAnsi="华文楷体" w:eastAsia="华文楷体" w:cs="华文楷体"/>
        </w:rPr>
        <w:t>短期（2025–2027）目标：</w:t>
      </w:r>
    </w:p>
    <w:p w14:paraId="3A71E2BA">
      <w:pPr>
        <w:pStyle w:val="31"/>
        <w:keepNext w:val="0"/>
        <w:keepLines w:val="0"/>
        <w:widowControl/>
        <w:numPr>
          <w:ilvl w:val="0"/>
          <w:numId w:val="16"/>
        </w:numPr>
        <w:suppressLineNumbers w:val="0"/>
        <w:ind w:left="420" w:leftChars="0" w:hanging="420" w:firstLineChars="0"/>
        <w:rPr>
          <w:rFonts w:hint="eastAsia" w:ascii="华文楷体" w:hAnsi="华文楷体" w:eastAsia="华文楷体" w:cs="华文楷体"/>
        </w:rPr>
      </w:pPr>
      <w:r>
        <w:rPr>
          <w:rFonts w:hint="eastAsia" w:ascii="华文楷体" w:hAnsi="华文楷体" w:eastAsia="华文楷体" w:cs="华文楷体"/>
        </w:rPr>
        <w:t>建立10人核心科研骨干 + 5人工程外协 + 3名顾问；</w:t>
      </w:r>
    </w:p>
    <w:p w14:paraId="4ED2B34C">
      <w:pPr>
        <w:pStyle w:val="31"/>
        <w:keepNext w:val="0"/>
        <w:keepLines w:val="0"/>
        <w:widowControl/>
        <w:numPr>
          <w:ilvl w:val="0"/>
          <w:numId w:val="14"/>
        </w:numPr>
        <w:suppressLineNumbers w:val="0"/>
        <w:ind w:left="425" w:leftChars="0" w:hanging="425" w:firstLineChars="0"/>
        <w:rPr>
          <w:rFonts w:hint="eastAsia" w:ascii="华文楷体" w:hAnsi="华文楷体" w:eastAsia="华文楷体" w:cs="华文楷体"/>
        </w:rPr>
      </w:pPr>
      <w:r>
        <w:rPr>
          <w:rStyle w:val="135"/>
          <w:rFonts w:hint="eastAsia" w:ascii="华文楷体" w:hAnsi="华文楷体" w:eastAsia="华文楷体" w:cs="华文楷体"/>
        </w:rPr>
        <w:t>中期（2028–2030）目标：</w:t>
      </w:r>
    </w:p>
    <w:p w14:paraId="2E823090">
      <w:pPr>
        <w:pStyle w:val="31"/>
        <w:keepNext w:val="0"/>
        <w:keepLines w:val="0"/>
        <w:widowControl/>
        <w:numPr>
          <w:ilvl w:val="0"/>
          <w:numId w:val="17"/>
        </w:numPr>
        <w:suppressLineNumbers w:val="0"/>
        <w:ind w:left="420" w:leftChars="0" w:hanging="420" w:firstLineChars="0"/>
        <w:rPr>
          <w:rFonts w:hint="eastAsia" w:ascii="华文楷体" w:hAnsi="华文楷体" w:eastAsia="华文楷体" w:cs="华文楷体"/>
        </w:rPr>
      </w:pPr>
      <w:r>
        <w:rPr>
          <w:rFonts w:hint="eastAsia" w:ascii="华文楷体" w:hAnsi="华文楷体" w:eastAsia="华文楷体" w:cs="华文楷体"/>
        </w:rPr>
        <w:t>形成30人规模的技术与注册体系团队；</w:t>
      </w:r>
    </w:p>
    <w:p w14:paraId="452C12A3">
      <w:pPr>
        <w:pStyle w:val="31"/>
        <w:keepNext w:val="0"/>
        <w:keepLines w:val="0"/>
        <w:widowControl/>
        <w:numPr>
          <w:ilvl w:val="0"/>
          <w:numId w:val="14"/>
        </w:numPr>
        <w:suppressLineNumbers w:val="0"/>
        <w:ind w:left="425" w:leftChars="0" w:hanging="425" w:firstLineChars="0"/>
        <w:rPr>
          <w:rFonts w:hint="eastAsia" w:ascii="华文楷体" w:hAnsi="华文楷体" w:eastAsia="华文楷体" w:cs="华文楷体"/>
        </w:rPr>
      </w:pPr>
      <w:r>
        <w:rPr>
          <w:rStyle w:val="135"/>
          <w:rFonts w:hint="eastAsia" w:ascii="华文楷体" w:hAnsi="华文楷体" w:eastAsia="华文楷体" w:cs="华文楷体"/>
        </w:rPr>
        <w:t>长期（2031–2035）目标：</w:t>
      </w:r>
    </w:p>
    <w:p w14:paraId="5ACEC5F6">
      <w:pPr>
        <w:pStyle w:val="31"/>
        <w:keepNext w:val="0"/>
        <w:keepLines w:val="0"/>
        <w:widowControl/>
        <w:numPr>
          <w:ilvl w:val="0"/>
          <w:numId w:val="18"/>
        </w:numPr>
        <w:suppressLineNumbers w:val="0"/>
        <w:ind w:left="420" w:leftChars="0" w:hanging="420" w:firstLineChars="0"/>
        <w:rPr>
          <w:rFonts w:hint="eastAsia" w:ascii="华文楷体" w:hAnsi="华文楷体" w:eastAsia="华文楷体" w:cs="华文楷体"/>
        </w:rPr>
      </w:pPr>
      <w:r>
        <w:rPr>
          <w:rFonts w:hint="eastAsia" w:ascii="华文楷体" w:hAnsi="华文楷体" w:eastAsia="华文楷体" w:cs="华文楷体"/>
        </w:rPr>
        <w:t>构建完整公司架构（研发、注册、制造、运营四大部门）；</w:t>
      </w:r>
    </w:p>
    <w:p w14:paraId="0B38CCB7">
      <w:pPr>
        <w:pStyle w:val="31"/>
        <w:keepNext w:val="0"/>
        <w:keepLines w:val="0"/>
        <w:widowControl/>
        <w:numPr>
          <w:ilvl w:val="0"/>
          <w:numId w:val="18"/>
        </w:numPr>
        <w:suppressLineNumbers w:val="0"/>
        <w:ind w:left="420" w:leftChars="0" w:hanging="420" w:firstLineChars="0"/>
        <w:rPr>
          <w:rFonts w:hint="eastAsia" w:ascii="华文楷体" w:hAnsi="华文楷体" w:eastAsia="华文楷体" w:cs="华文楷体"/>
        </w:rPr>
      </w:pPr>
      <w:r>
        <w:rPr>
          <w:rFonts w:hint="eastAsia" w:ascii="华文楷体" w:hAnsi="华文楷体" w:eastAsia="华文楷体" w:cs="华文楷体"/>
        </w:rPr>
        <w:t>建立技术与市场双轮驱动管理层。</w:t>
      </w:r>
    </w:p>
    <w:p w14:paraId="6B5B3B9D">
      <w:pPr>
        <w:rPr>
          <w:rFonts w:hint="eastAsia" w:ascii="华文楷体" w:hAnsi="华文楷体" w:eastAsia="华文楷体" w:cs="华文楷体"/>
        </w:rPr>
      </w:pPr>
    </w:p>
    <w:sectPr>
      <w:footerReference r:id="rId7" w:type="default"/>
      <w:pgSz w:w="12240" w:h="15840"/>
      <w:pgMar w:top="1440" w:right="1800" w:bottom="1440" w:left="1800" w:header="720" w:footer="720" w:gutter="0"/>
      <w:pgNumType w:fmt="decimal" w:start="1"/>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ＭＳ 明朝">
    <w:altName w:val="SWAstro"/>
    <w:panose1 w:val="00000000000000000000"/>
    <w:charset w:val="00"/>
    <w:family w:val="auto"/>
    <w:pitch w:val="default"/>
    <w:sig w:usb0="00000000" w:usb1="00000000" w:usb2="00000000" w:usb3="00000000" w:csb0="00000000" w:csb1="00000000"/>
  </w:font>
  <w:font w:name="SWAstro">
    <w:panose1 w:val="02000400000000000000"/>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77AA6">
    <w:pPr>
      <w:pStyle w:val="2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78391">
    <w:pPr>
      <w:pStyle w:val="24"/>
    </w:pPr>
    <w:r>
      <w:rPr>
        <w:sz w:val="2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07DCBA">
                          <w:pPr>
                            <w:pStyle w:val="2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F07DCBA">
                    <w:pPr>
                      <w:pStyle w:val="2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E4A340">
    <w:pPr>
      <w:pStyle w:val="25"/>
      <w:tabs>
        <w:tab w:val="center" w:pos="4320"/>
        <w:tab w:val="clear" w:pos="468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126163"/>
    <w:multiLevelType w:val="singleLevel"/>
    <w:tmpl w:val="B8126163"/>
    <w:lvl w:ilvl="0" w:tentative="0">
      <w:start w:val="1"/>
      <w:numFmt w:val="bullet"/>
      <w:lvlText w:val=""/>
      <w:lvlJc w:val="left"/>
      <w:pPr>
        <w:ind w:left="420" w:hanging="420"/>
      </w:pPr>
      <w:rPr>
        <w:rFonts w:hint="default" w:ascii="Wingdings" w:hAnsi="Wingdings"/>
      </w:rPr>
    </w:lvl>
  </w:abstractNum>
  <w:abstractNum w:abstractNumId="1">
    <w:nsid w:val="D71CD0F0"/>
    <w:multiLevelType w:val="multilevel"/>
    <w:tmpl w:val="D71CD0F0"/>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tabs>
          <w:tab w:val="left" w:pos="840"/>
        </w:tabs>
        <w:ind w:left="840" w:leftChars="0" w:hanging="420" w:firstLineChars="0"/>
      </w:pPr>
      <w:rPr>
        <w:rFonts w:hint="default" w:ascii="Wingdings" w:hAnsi="Wingdings"/>
      </w:rPr>
    </w:lvl>
    <w:lvl w:ilvl="2" w:tentative="0">
      <w:start w:val="1"/>
      <w:numFmt w:val="bullet"/>
      <w:lvlText w:val=""/>
      <w:lvlJc w:val="left"/>
      <w:pPr>
        <w:tabs>
          <w:tab w:val="left" w:pos="1260"/>
        </w:tabs>
        <w:ind w:left="1260" w:leftChars="0" w:hanging="420" w:firstLineChars="0"/>
      </w:pPr>
      <w:rPr>
        <w:rFonts w:hint="default" w:ascii="Wingdings" w:hAnsi="Wingdings"/>
      </w:rPr>
    </w:lvl>
    <w:lvl w:ilvl="3" w:tentative="0">
      <w:start w:val="1"/>
      <w:numFmt w:val="bullet"/>
      <w:lvlText w:val=""/>
      <w:lvlJc w:val="left"/>
      <w:pPr>
        <w:tabs>
          <w:tab w:val="left" w:pos="1680"/>
        </w:tabs>
        <w:ind w:left="1680" w:leftChars="0" w:hanging="420" w:firstLineChars="0"/>
      </w:pPr>
      <w:rPr>
        <w:rFonts w:hint="default" w:ascii="Wingdings" w:hAnsi="Wingdings"/>
      </w:rPr>
    </w:lvl>
    <w:lvl w:ilvl="4" w:tentative="0">
      <w:start w:val="1"/>
      <w:numFmt w:val="bullet"/>
      <w:lvlText w:val=""/>
      <w:lvlJc w:val="left"/>
      <w:pPr>
        <w:tabs>
          <w:tab w:val="left" w:pos="2100"/>
        </w:tabs>
        <w:ind w:left="2100" w:leftChars="0" w:hanging="420" w:firstLineChars="0"/>
      </w:pPr>
      <w:rPr>
        <w:rFonts w:hint="default" w:ascii="Wingdings" w:hAnsi="Wingdings"/>
      </w:rPr>
    </w:lvl>
    <w:lvl w:ilvl="5" w:tentative="0">
      <w:start w:val="1"/>
      <w:numFmt w:val="bullet"/>
      <w:lvlText w:val=""/>
      <w:lvlJc w:val="left"/>
      <w:pPr>
        <w:tabs>
          <w:tab w:val="left" w:pos="2520"/>
        </w:tabs>
        <w:ind w:left="2520" w:leftChars="0" w:hanging="420" w:firstLineChars="0"/>
      </w:pPr>
      <w:rPr>
        <w:rFonts w:hint="default" w:ascii="Wingdings" w:hAnsi="Wingdings"/>
      </w:rPr>
    </w:lvl>
    <w:lvl w:ilvl="6" w:tentative="0">
      <w:start w:val="1"/>
      <w:numFmt w:val="bullet"/>
      <w:lvlText w:val=""/>
      <w:lvlJc w:val="left"/>
      <w:pPr>
        <w:tabs>
          <w:tab w:val="left" w:pos="2940"/>
        </w:tabs>
        <w:ind w:left="2940" w:leftChars="0" w:hanging="420" w:firstLineChars="0"/>
      </w:pPr>
      <w:rPr>
        <w:rFonts w:hint="default" w:ascii="Wingdings" w:hAnsi="Wingdings"/>
      </w:rPr>
    </w:lvl>
    <w:lvl w:ilvl="7" w:tentative="0">
      <w:start w:val="1"/>
      <w:numFmt w:val="bullet"/>
      <w:lvlText w:val=""/>
      <w:lvlJc w:val="left"/>
      <w:pPr>
        <w:tabs>
          <w:tab w:val="left" w:pos="3360"/>
        </w:tabs>
        <w:ind w:left="3360" w:leftChars="0" w:hanging="420" w:firstLineChars="0"/>
      </w:pPr>
      <w:rPr>
        <w:rFonts w:hint="default" w:ascii="Wingdings" w:hAnsi="Wingdings"/>
      </w:rPr>
    </w:lvl>
    <w:lvl w:ilvl="8" w:tentative="0">
      <w:start w:val="1"/>
      <w:numFmt w:val="bullet"/>
      <w:lvlText w:val=""/>
      <w:lvlJc w:val="left"/>
      <w:pPr>
        <w:tabs>
          <w:tab w:val="left" w:pos="3780"/>
        </w:tabs>
        <w:ind w:left="3780" w:leftChars="0" w:hanging="420" w:firstLineChars="0"/>
      </w:pPr>
      <w:rPr>
        <w:rFonts w:hint="default" w:ascii="Wingdings" w:hAnsi="Wingdings"/>
      </w:rPr>
    </w:lvl>
  </w:abstractNum>
  <w:abstractNum w:abstractNumId="2">
    <w:nsid w:val="DFEDD9C8"/>
    <w:multiLevelType w:val="singleLevel"/>
    <w:tmpl w:val="DFEDD9C8"/>
    <w:lvl w:ilvl="0" w:tentative="0">
      <w:start w:val="1"/>
      <w:numFmt w:val="bullet"/>
      <w:lvlText w:val=""/>
      <w:lvlJc w:val="left"/>
      <w:pPr>
        <w:ind w:left="420" w:hanging="420"/>
      </w:pPr>
      <w:rPr>
        <w:rFonts w:hint="default" w:ascii="Wingdings" w:hAnsi="Wingdings"/>
      </w:rPr>
    </w:lvl>
  </w:abstractNum>
  <w:abstractNum w:abstractNumId="3">
    <w:nsid w:val="ECEDC7D9"/>
    <w:multiLevelType w:val="singleLevel"/>
    <w:tmpl w:val="ECEDC7D9"/>
    <w:lvl w:ilvl="0" w:tentative="0">
      <w:start w:val="1"/>
      <w:numFmt w:val="bullet"/>
      <w:lvlText w:val=""/>
      <w:lvlJc w:val="left"/>
      <w:pPr>
        <w:ind w:left="420" w:hanging="420"/>
      </w:pPr>
      <w:rPr>
        <w:rFonts w:hint="default" w:ascii="Wingdings" w:hAnsi="Wingdings"/>
      </w:rPr>
    </w:lvl>
  </w:abstractNum>
  <w:abstractNum w:abstractNumId="4">
    <w:nsid w:val="FCEA07B7"/>
    <w:multiLevelType w:val="singleLevel"/>
    <w:tmpl w:val="FCEA07B7"/>
    <w:lvl w:ilvl="0" w:tentative="0">
      <w:start w:val="1"/>
      <w:numFmt w:val="decimal"/>
      <w:lvlText w:val="%1."/>
      <w:lvlJc w:val="left"/>
      <w:pPr>
        <w:ind w:left="425" w:hanging="425"/>
      </w:pPr>
      <w:rPr>
        <w:rFonts w:hint="default"/>
      </w:rPr>
    </w:lvl>
  </w:abstractNum>
  <w:abstractNum w:abstractNumId="5">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6">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7">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8">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9">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10">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abstractNum w:abstractNumId="11">
    <w:nsid w:val="0DEE24A3"/>
    <w:multiLevelType w:val="singleLevel"/>
    <w:tmpl w:val="0DEE24A3"/>
    <w:lvl w:ilvl="0" w:tentative="0">
      <w:start w:val="4"/>
      <w:numFmt w:val="chineseCounting"/>
      <w:suff w:val="nothing"/>
      <w:lvlText w:val="%1、"/>
      <w:lvlJc w:val="left"/>
      <w:rPr>
        <w:rFonts w:hint="eastAsia"/>
      </w:rPr>
    </w:lvl>
  </w:abstractNum>
  <w:abstractNum w:abstractNumId="12">
    <w:nsid w:val="26B99F05"/>
    <w:multiLevelType w:val="singleLevel"/>
    <w:tmpl w:val="26B99F05"/>
    <w:lvl w:ilvl="0" w:tentative="0">
      <w:start w:val="1"/>
      <w:numFmt w:val="bullet"/>
      <w:lvlText w:val=""/>
      <w:lvlJc w:val="left"/>
      <w:pPr>
        <w:ind w:left="420" w:hanging="420"/>
      </w:pPr>
      <w:rPr>
        <w:rFonts w:hint="default" w:ascii="Wingdings" w:hAnsi="Wingdings"/>
        <w:color w:val="FF0000"/>
      </w:rPr>
    </w:lvl>
  </w:abstractNum>
  <w:abstractNum w:abstractNumId="13">
    <w:nsid w:val="2DC73461"/>
    <w:multiLevelType w:val="singleLevel"/>
    <w:tmpl w:val="2DC73461"/>
    <w:lvl w:ilvl="0" w:tentative="0">
      <w:start w:val="1"/>
      <w:numFmt w:val="bullet"/>
      <w:lvlText w:val=""/>
      <w:lvlJc w:val="left"/>
      <w:pPr>
        <w:ind w:left="420" w:hanging="420"/>
      </w:pPr>
      <w:rPr>
        <w:rFonts w:hint="default" w:ascii="Wingdings" w:hAnsi="Wingdings"/>
      </w:rPr>
    </w:lvl>
  </w:abstractNum>
  <w:abstractNum w:abstractNumId="14">
    <w:nsid w:val="41FE7B73"/>
    <w:multiLevelType w:val="singleLevel"/>
    <w:tmpl w:val="41FE7B73"/>
    <w:lvl w:ilvl="0" w:tentative="0">
      <w:start w:val="1"/>
      <w:numFmt w:val="bullet"/>
      <w:lvlText w:val=""/>
      <w:lvlJc w:val="left"/>
      <w:pPr>
        <w:ind w:left="420" w:hanging="420"/>
      </w:pPr>
      <w:rPr>
        <w:rFonts w:hint="default" w:ascii="Wingdings" w:hAnsi="Wingdings"/>
      </w:rPr>
    </w:lvl>
  </w:abstractNum>
  <w:abstractNum w:abstractNumId="15">
    <w:nsid w:val="425834B3"/>
    <w:multiLevelType w:val="singleLevel"/>
    <w:tmpl w:val="425834B3"/>
    <w:lvl w:ilvl="0" w:tentative="0">
      <w:start w:val="1"/>
      <w:numFmt w:val="bullet"/>
      <w:lvlText w:val=""/>
      <w:lvlJc w:val="left"/>
      <w:pPr>
        <w:ind w:left="420" w:hanging="420"/>
      </w:pPr>
      <w:rPr>
        <w:rFonts w:hint="default" w:ascii="Wingdings" w:hAnsi="Wingdings"/>
      </w:rPr>
    </w:lvl>
  </w:abstractNum>
  <w:abstractNum w:abstractNumId="16">
    <w:nsid w:val="60225A1D"/>
    <w:multiLevelType w:val="singleLevel"/>
    <w:tmpl w:val="60225A1D"/>
    <w:lvl w:ilvl="0" w:tentative="0">
      <w:start w:val="1"/>
      <w:numFmt w:val="bullet"/>
      <w:lvlText w:val=""/>
      <w:lvlJc w:val="left"/>
      <w:pPr>
        <w:ind w:left="420" w:hanging="420"/>
      </w:pPr>
      <w:rPr>
        <w:rFonts w:hint="default" w:ascii="Wingdings" w:hAnsi="Wingdings"/>
      </w:rPr>
    </w:lvl>
  </w:abstractNum>
  <w:abstractNum w:abstractNumId="17">
    <w:nsid w:val="6D6A35E6"/>
    <w:multiLevelType w:val="singleLevel"/>
    <w:tmpl w:val="6D6A35E6"/>
    <w:lvl w:ilvl="0" w:tentative="0">
      <w:start w:val="1"/>
      <w:numFmt w:val="chineseCounting"/>
      <w:suff w:val="nothing"/>
      <w:lvlText w:val="%1、"/>
      <w:lvlJc w:val="left"/>
      <w:pPr>
        <w:ind w:left="0" w:firstLine="420"/>
      </w:pPr>
      <w:rPr>
        <w:rFonts w:hint="eastAsia"/>
      </w:rPr>
    </w:lvl>
  </w:abstractNum>
  <w:num w:numId="1">
    <w:abstractNumId w:val="6"/>
  </w:num>
  <w:num w:numId="2">
    <w:abstractNumId w:val="9"/>
  </w:num>
  <w:num w:numId="3">
    <w:abstractNumId w:val="10"/>
  </w:num>
  <w:num w:numId="4">
    <w:abstractNumId w:val="7"/>
  </w:num>
  <w:num w:numId="5">
    <w:abstractNumId w:val="5"/>
  </w:num>
  <w:num w:numId="6">
    <w:abstractNumId w:val="8"/>
  </w:num>
  <w:num w:numId="7">
    <w:abstractNumId w:val="17"/>
  </w:num>
  <w:num w:numId="8">
    <w:abstractNumId w:val="3"/>
  </w:num>
  <w:num w:numId="9">
    <w:abstractNumId w:val="1"/>
  </w:num>
  <w:num w:numId="10">
    <w:abstractNumId w:val="12"/>
  </w:num>
  <w:num w:numId="11">
    <w:abstractNumId w:val="14"/>
  </w:num>
  <w:num w:numId="12">
    <w:abstractNumId w:val="11"/>
  </w:num>
  <w:num w:numId="13">
    <w:abstractNumId w:val="13"/>
  </w:num>
  <w:num w:numId="14">
    <w:abstractNumId w:val="4"/>
  </w:num>
  <w:num w:numId="15">
    <w:abstractNumId w:val="2"/>
  </w:num>
  <w:num w:numId="16">
    <w:abstractNumId w:val="16"/>
  </w:num>
  <w:num w:numId="17">
    <w:abstractNumId w:val="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Y_MEDREF_DOCUID" w:val="{446BEC3E-8B9F-485F-BFB7-82685B961B55}"/>
    <w:docVar w:name="KY_MEDREF_VERSION" w:val="3"/>
  </w:docVars>
  <w:rsids>
    <w:rsidRoot w:val="00B47730"/>
    <w:rsid w:val="00034616"/>
    <w:rsid w:val="0006063C"/>
    <w:rsid w:val="0015074B"/>
    <w:rsid w:val="00182236"/>
    <w:rsid w:val="0029639D"/>
    <w:rsid w:val="00326F90"/>
    <w:rsid w:val="00AA1D8D"/>
    <w:rsid w:val="00B47730"/>
    <w:rsid w:val="00CB0664"/>
    <w:rsid w:val="00D70809"/>
    <w:rsid w:val="00FC693F"/>
    <w:rsid w:val="055D2614"/>
    <w:rsid w:val="0627193B"/>
    <w:rsid w:val="0F483D4E"/>
    <w:rsid w:val="1016361E"/>
    <w:rsid w:val="10E8509F"/>
    <w:rsid w:val="129D6C26"/>
    <w:rsid w:val="1DFE0F43"/>
    <w:rsid w:val="21D549C5"/>
    <w:rsid w:val="226E080D"/>
    <w:rsid w:val="2709370D"/>
    <w:rsid w:val="27562DFC"/>
    <w:rsid w:val="2BB331A5"/>
    <w:rsid w:val="33091709"/>
    <w:rsid w:val="34ED1C61"/>
    <w:rsid w:val="355E6877"/>
    <w:rsid w:val="360F68C0"/>
    <w:rsid w:val="4692036C"/>
    <w:rsid w:val="4EDB74CA"/>
    <w:rsid w:val="582817AF"/>
    <w:rsid w:val="5C525315"/>
    <w:rsid w:val="5D770FFC"/>
    <w:rsid w:val="62482315"/>
    <w:rsid w:val="67A96C2F"/>
    <w:rsid w:val="6CA37CBE"/>
    <w:rsid w:val="6DC53514"/>
    <w:rsid w:val="6FD100CD"/>
    <w:rsid w:val="736672E4"/>
    <w:rsid w:val="73E96177"/>
    <w:rsid w:val="74530068"/>
    <w:rsid w:val="760246AA"/>
    <w:rsid w:val="7F1A681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40"/>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1"/>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2"/>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2"/>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3"/>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4"/>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5"/>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6"/>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7"/>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4">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2">
    <w:name w:val="macro"/>
    <w:link w:val="149"/>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8"/>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6"/>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8"/>
    <w:unhideWhenUsed/>
    <w:qFormat/>
    <w:uiPriority w:val="99"/>
    <w:pPr>
      <w:tabs>
        <w:tab w:val="center" w:pos="4680"/>
        <w:tab w:val="right" w:pos="9360"/>
      </w:tabs>
      <w:spacing w:after="0" w:line="240" w:lineRule="auto"/>
    </w:pPr>
  </w:style>
  <w:style w:type="paragraph" w:styleId="25">
    <w:name w:val="header"/>
    <w:basedOn w:val="1"/>
    <w:link w:val="137"/>
    <w:unhideWhenUsed/>
    <w:qFormat/>
    <w:uiPriority w:val="99"/>
    <w:pPr>
      <w:tabs>
        <w:tab w:val="center" w:pos="4680"/>
        <w:tab w:val="right" w:pos="9360"/>
      </w:tabs>
      <w:spacing w:after="0" w:line="240" w:lineRule="auto"/>
    </w:pPr>
  </w:style>
  <w:style w:type="paragraph" w:styleId="26">
    <w:name w:val="toc 1"/>
    <w:basedOn w:val="1"/>
    <w:next w:val="1"/>
    <w:semiHidden/>
    <w:unhideWhenUsed/>
    <w:uiPriority w:val="39"/>
  </w:style>
  <w:style w:type="paragraph" w:styleId="27">
    <w:name w:val="Subtitle"/>
    <w:basedOn w:val="1"/>
    <w:next w:val="1"/>
    <w:link w:val="14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8">
    <w:name w:val="List"/>
    <w:basedOn w:val="1"/>
    <w:unhideWhenUsed/>
    <w:qFormat/>
    <w:uiPriority w:val="99"/>
    <w:pPr>
      <w:ind w:left="360" w:hanging="360"/>
      <w:contextualSpacing/>
    </w:pPr>
  </w:style>
  <w:style w:type="paragraph" w:styleId="29">
    <w:name w:val="Body Text 2"/>
    <w:basedOn w:val="1"/>
    <w:link w:val="147"/>
    <w:unhideWhenUsed/>
    <w:qFormat/>
    <w:uiPriority w:val="99"/>
    <w:pPr>
      <w:spacing w:after="120" w:line="480" w:lineRule="auto"/>
    </w:pPr>
  </w:style>
  <w:style w:type="paragraph" w:styleId="30">
    <w:name w:val="List Continue 2"/>
    <w:basedOn w:val="1"/>
    <w:unhideWhenUsed/>
    <w:qFormat/>
    <w:uiPriority w:val="99"/>
    <w:pPr>
      <w:spacing w:after="120"/>
      <w:ind w:left="720"/>
      <w:contextualSpacing/>
    </w:pPr>
  </w:style>
  <w:style w:type="paragraph" w:styleId="31">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32">
    <w:name w:val="List Continue 3"/>
    <w:basedOn w:val="1"/>
    <w:unhideWhenUsed/>
    <w:qFormat/>
    <w:uiPriority w:val="99"/>
    <w:pPr>
      <w:spacing w:after="120"/>
      <w:ind w:left="1080"/>
      <w:contextualSpacing/>
    </w:pPr>
  </w:style>
  <w:style w:type="paragraph" w:styleId="33">
    <w:name w:val="Title"/>
    <w:basedOn w:val="1"/>
    <w:next w:val="1"/>
    <w:link w:val="143"/>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5">
    <w:name w:val="Table Grid"/>
    <w:basedOn w:val="3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6">
    <w:name w:val="Light Shading"/>
    <w:basedOn w:val="34"/>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7">
    <w:name w:val="Light Shading Accent 1"/>
    <w:basedOn w:val="34"/>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8">
    <w:name w:val="Light Shading Accent 2"/>
    <w:basedOn w:val="34"/>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9">
    <w:name w:val="Light Shading Accent 3"/>
    <w:basedOn w:val="34"/>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34"/>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1">
    <w:name w:val="Light Shading Accent 5"/>
    <w:basedOn w:val="34"/>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2">
    <w:name w:val="Light Shading Accent 6"/>
    <w:basedOn w:val="34"/>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3">
    <w:name w:val="Light List"/>
    <w:basedOn w:val="34"/>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4">
    <w:name w:val="Light List Accent 1"/>
    <w:basedOn w:val="34"/>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5">
    <w:name w:val="Light List Accent 2"/>
    <w:basedOn w:val="34"/>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6">
    <w:name w:val="Light List Accent 3"/>
    <w:basedOn w:val="34"/>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7">
    <w:name w:val="Light List Accent 4"/>
    <w:basedOn w:val="34"/>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8">
    <w:name w:val="Light List Accent 5"/>
    <w:basedOn w:val="34"/>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9">
    <w:name w:val="Light List Accent 6"/>
    <w:basedOn w:val="34"/>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0">
    <w:name w:val="Light Grid"/>
    <w:basedOn w:val="34"/>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1">
    <w:name w:val="Light Grid Accent 1"/>
    <w:basedOn w:val="34"/>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2">
    <w:name w:val="Light Grid Accent 2"/>
    <w:basedOn w:val="34"/>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3">
    <w:name w:val="Light Grid Accent 3"/>
    <w:basedOn w:val="34"/>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4">
    <w:name w:val="Light Grid Accent 4"/>
    <w:basedOn w:val="34"/>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5">
    <w:name w:val="Light Grid Accent 5"/>
    <w:basedOn w:val="34"/>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6">
    <w:name w:val="Light Grid Accent 6"/>
    <w:basedOn w:val="34"/>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7">
    <w:name w:val="Medium Shading 1"/>
    <w:basedOn w:val="34"/>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8">
    <w:name w:val="Medium Shading 1 Accent 1"/>
    <w:basedOn w:val="34"/>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9">
    <w:name w:val="Medium Shading 1 Accent 2"/>
    <w:basedOn w:val="34"/>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0">
    <w:name w:val="Medium Shading 1 Accent 3"/>
    <w:basedOn w:val="34"/>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1">
    <w:name w:val="Medium Shading 1 Accent 4"/>
    <w:basedOn w:val="34"/>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2">
    <w:name w:val="Medium Shading 1 Accent 5"/>
    <w:basedOn w:val="34"/>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3">
    <w:name w:val="Medium Shading 1 Accent 6"/>
    <w:basedOn w:val="34"/>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4">
    <w:name w:val="Medium Shading 2"/>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1"/>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2"/>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3"/>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4"/>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5"/>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6"/>
    <w:basedOn w:val="34"/>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List 1"/>
    <w:basedOn w:val="34"/>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2">
    <w:name w:val="Medium List 1 Accent 1"/>
    <w:basedOn w:val="34"/>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3">
    <w:name w:val="Medium List 1 Accent 2"/>
    <w:basedOn w:val="34"/>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4">
    <w:name w:val="Medium List 1 Accent 3"/>
    <w:basedOn w:val="34"/>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5">
    <w:name w:val="Medium List 1 Accent 4"/>
    <w:basedOn w:val="34"/>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6">
    <w:name w:val="Medium List 1 Accent 5"/>
    <w:basedOn w:val="34"/>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7">
    <w:name w:val="Medium List 1 Accent 6"/>
    <w:basedOn w:val="34"/>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8">
    <w:name w:val="Medium List 2"/>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1"/>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2"/>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3"/>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4"/>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5"/>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6"/>
    <w:basedOn w:val="34"/>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Grid 1"/>
    <w:basedOn w:val="34"/>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6">
    <w:name w:val="Medium Grid 1 Accent 1"/>
    <w:basedOn w:val="34"/>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7">
    <w:name w:val="Medium Grid 1 Accent 2"/>
    <w:basedOn w:val="34"/>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8">
    <w:name w:val="Medium Grid 1 Accent 3"/>
    <w:basedOn w:val="34"/>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9">
    <w:name w:val="Medium Grid 1 Accent 4"/>
    <w:basedOn w:val="34"/>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0">
    <w:name w:val="Medium Grid 1 Accent 5"/>
    <w:basedOn w:val="34"/>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1">
    <w:name w:val="Medium Grid 1 Accent 6"/>
    <w:basedOn w:val="34"/>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2">
    <w:name w:val="Medium Grid 2"/>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3">
    <w:name w:val="Medium Grid 2 Accent 1"/>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4">
    <w:name w:val="Medium Grid 2 Accent 2"/>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5">
    <w:name w:val="Medium Grid 2 Accent 3"/>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6">
    <w:name w:val="Medium Grid 2 Accent 4"/>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7">
    <w:name w:val="Medium Grid 2 Accent 5"/>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8">
    <w:name w:val="Medium Grid 2 Accent 6"/>
    <w:basedOn w:val="34"/>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9">
    <w:name w:val="Medium Grid 3"/>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0">
    <w:name w:val="Medium Grid 3 Accent 1"/>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1">
    <w:name w:val="Medium Grid 3 Accent 2"/>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2">
    <w:name w:val="Medium Grid 3 Accent 3"/>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3">
    <w:name w:val="Medium Grid 3 Accent 4"/>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4">
    <w:name w:val="Medium Grid 3 Accent 5"/>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5">
    <w:name w:val="Medium Grid 3 Accent 6"/>
    <w:basedOn w:val="34"/>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6">
    <w:name w:val="Dark List"/>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7">
    <w:name w:val="Dark List Accent 1"/>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8">
    <w:name w:val="Dark List Accent 2"/>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9">
    <w:name w:val="Dark List Accent 3"/>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0">
    <w:name w:val="Dark List Accent 4"/>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1">
    <w:name w:val="Dark List Accent 5"/>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2">
    <w:name w:val="Dark List Accent 6"/>
    <w:basedOn w:val="34"/>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3">
    <w:name w:val="Colorful Shading"/>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1"/>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5">
    <w:name w:val="Colorful Shading Accent 2"/>
    <w:basedOn w:val="34"/>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3"/>
    <w:basedOn w:val="34"/>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7">
    <w:name w:val="Colorful Shading Accent 4"/>
    <w:basedOn w:val="34"/>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5"/>
    <w:basedOn w:val="34"/>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6"/>
    <w:basedOn w:val="34"/>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0">
    <w:name w:val="Colorful List"/>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1">
    <w:name w:val="Colorful List Accent 1"/>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2">
    <w:name w:val="Colorful List Accent 2"/>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3">
    <w:name w:val="Colorful List Accent 3"/>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4">
    <w:name w:val="Colorful List Accent 4"/>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5">
    <w:name w:val="Colorful List Accent 5"/>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6">
    <w:name w:val="Colorful List Accent 6"/>
    <w:basedOn w:val="34"/>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7">
    <w:name w:val="Colorful Grid"/>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8">
    <w:name w:val="Colorful Grid Accent 1"/>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9">
    <w:name w:val="Colorful Grid Accent 2"/>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0">
    <w:name w:val="Colorful Grid Accent 3"/>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1">
    <w:name w:val="Colorful Grid Accent 4"/>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2">
    <w:name w:val="Colorful Grid Accent 5"/>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3">
    <w:name w:val="Colorful Grid Accent 6"/>
    <w:basedOn w:val="34"/>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5">
    <w:name w:val="Strong"/>
    <w:basedOn w:val="134"/>
    <w:qFormat/>
    <w:uiPriority w:val="22"/>
    <w:rPr>
      <w:b/>
      <w:bCs/>
    </w:rPr>
  </w:style>
  <w:style w:type="character" w:styleId="136">
    <w:name w:val="Emphasis"/>
    <w:basedOn w:val="134"/>
    <w:qFormat/>
    <w:uiPriority w:val="20"/>
    <w:rPr>
      <w:i/>
      <w:iCs/>
    </w:rPr>
  </w:style>
  <w:style w:type="character" w:customStyle="1" w:styleId="137">
    <w:name w:val="Header Char"/>
    <w:basedOn w:val="134"/>
    <w:link w:val="25"/>
    <w:qFormat/>
    <w:uiPriority w:val="99"/>
  </w:style>
  <w:style w:type="character" w:customStyle="1" w:styleId="138">
    <w:name w:val="Footer Char"/>
    <w:basedOn w:val="134"/>
    <w:link w:val="24"/>
    <w:qFormat/>
    <w:uiPriority w:val="99"/>
  </w:style>
  <w:style w:type="paragraph" w:styleId="139">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40">
    <w:name w:val="Heading 1 Char"/>
    <w:basedOn w:val="134"/>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1">
    <w:name w:val="Heading 2 Char"/>
    <w:basedOn w:val="134"/>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2">
    <w:name w:val="Heading 3 Char"/>
    <w:basedOn w:val="134"/>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3">
    <w:name w:val="Title Char"/>
    <w:basedOn w:val="134"/>
    <w:link w:val="33"/>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4">
    <w:name w:val="Subtitle Char"/>
    <w:basedOn w:val="134"/>
    <w:link w:val="27"/>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5">
    <w:name w:val="List Paragraph"/>
    <w:basedOn w:val="1"/>
    <w:qFormat/>
    <w:uiPriority w:val="34"/>
    <w:pPr>
      <w:ind w:left="720"/>
      <w:contextualSpacing/>
    </w:pPr>
  </w:style>
  <w:style w:type="character" w:customStyle="1" w:styleId="146">
    <w:name w:val="Body Text Char"/>
    <w:basedOn w:val="134"/>
    <w:link w:val="19"/>
    <w:qFormat/>
    <w:uiPriority w:val="99"/>
  </w:style>
  <w:style w:type="character" w:customStyle="1" w:styleId="147">
    <w:name w:val="Body Text 2 Char"/>
    <w:basedOn w:val="134"/>
    <w:link w:val="29"/>
    <w:qFormat/>
    <w:uiPriority w:val="99"/>
  </w:style>
  <w:style w:type="character" w:customStyle="1" w:styleId="148">
    <w:name w:val="Body Text 3 Char"/>
    <w:basedOn w:val="134"/>
    <w:link w:val="17"/>
    <w:qFormat/>
    <w:uiPriority w:val="99"/>
    <w:rPr>
      <w:sz w:val="16"/>
      <w:szCs w:val="16"/>
    </w:rPr>
  </w:style>
  <w:style w:type="character" w:customStyle="1" w:styleId="149">
    <w:name w:val="Macro Text Char"/>
    <w:basedOn w:val="134"/>
    <w:link w:val="2"/>
    <w:qFormat/>
    <w:uiPriority w:val="99"/>
    <w:rPr>
      <w:rFonts w:ascii="Courier" w:hAnsi="Courier"/>
      <w:sz w:val="20"/>
      <w:szCs w:val="20"/>
    </w:rPr>
  </w:style>
  <w:style w:type="paragraph" w:styleId="150">
    <w:name w:val="Quote"/>
    <w:basedOn w:val="1"/>
    <w:next w:val="1"/>
    <w:link w:val="151"/>
    <w:qFormat/>
    <w:uiPriority w:val="29"/>
    <w:rPr>
      <w:i/>
      <w:iCs/>
      <w:color w:val="000000" w:themeColor="text1"/>
      <w14:textFill>
        <w14:solidFill>
          <w14:schemeClr w14:val="tx1"/>
        </w14:solidFill>
      </w14:textFill>
    </w:rPr>
  </w:style>
  <w:style w:type="character" w:customStyle="1" w:styleId="151">
    <w:name w:val="Quote Char"/>
    <w:basedOn w:val="134"/>
    <w:link w:val="150"/>
    <w:qFormat/>
    <w:uiPriority w:val="29"/>
    <w:rPr>
      <w:i/>
      <w:iCs/>
      <w:color w:val="000000" w:themeColor="text1"/>
      <w14:textFill>
        <w14:solidFill>
          <w14:schemeClr w14:val="tx1"/>
        </w14:solidFill>
      </w14:textFill>
    </w:rPr>
  </w:style>
  <w:style w:type="character" w:customStyle="1" w:styleId="152">
    <w:name w:val="Heading 4 Char"/>
    <w:basedOn w:val="134"/>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3">
    <w:name w:val="Heading 5 Char"/>
    <w:basedOn w:val="134"/>
    <w:link w:val="7"/>
    <w:semiHidden/>
    <w:qFormat/>
    <w:uiPriority w:val="9"/>
    <w:rPr>
      <w:rFonts w:asciiTheme="majorHAnsi" w:hAnsiTheme="majorHAnsi" w:eastAsiaTheme="majorEastAsia" w:cstheme="majorBidi"/>
      <w:color w:val="254061" w:themeColor="accent1" w:themeShade="80"/>
    </w:rPr>
  </w:style>
  <w:style w:type="character" w:customStyle="1" w:styleId="154">
    <w:name w:val="Heading 6 Char"/>
    <w:basedOn w:val="134"/>
    <w:link w:val="8"/>
    <w:semiHidden/>
    <w:qFormat/>
    <w:uiPriority w:val="9"/>
    <w:rPr>
      <w:rFonts w:asciiTheme="majorHAnsi" w:hAnsiTheme="majorHAnsi" w:eastAsiaTheme="majorEastAsia" w:cstheme="majorBidi"/>
      <w:i/>
      <w:iCs/>
      <w:color w:val="254061" w:themeColor="accent1" w:themeShade="80"/>
    </w:rPr>
  </w:style>
  <w:style w:type="character" w:customStyle="1" w:styleId="155">
    <w:name w:val="Heading 7 Char"/>
    <w:basedOn w:val="134"/>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6">
    <w:name w:val="Heading 8 Char"/>
    <w:basedOn w:val="134"/>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7">
    <w:name w:val="Heading 9 Char"/>
    <w:basedOn w:val="134"/>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8">
    <w:name w:val="Intense Quote"/>
    <w:basedOn w:val="1"/>
    <w:next w:val="1"/>
    <w:link w:val="159"/>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9">
    <w:name w:val="Intense Quote Char"/>
    <w:basedOn w:val="134"/>
    <w:link w:val="158"/>
    <w:qFormat/>
    <w:uiPriority w:val="30"/>
    <w:rPr>
      <w:b/>
      <w:bCs/>
      <w:i/>
      <w:iCs/>
      <w:color w:val="4F81BD" w:themeColor="accent1"/>
      <w14:textFill>
        <w14:solidFill>
          <w14:schemeClr w14:val="accent1"/>
        </w14:solidFill>
      </w14:textFill>
    </w:rPr>
  </w:style>
  <w:style w:type="character" w:customStyle="1" w:styleId="160">
    <w:name w:val="Subtle Emphasis"/>
    <w:basedOn w:val="134"/>
    <w:qFormat/>
    <w:uiPriority w:val="19"/>
    <w:rPr>
      <w:i/>
      <w:iCs/>
      <w:color w:val="808080" w:themeColor="text1" w:themeTint="80"/>
      <w14:textFill>
        <w14:solidFill>
          <w14:schemeClr w14:val="tx1">
            <w14:lumMod w14:val="50000"/>
            <w14:lumOff w14:val="50000"/>
          </w14:schemeClr>
        </w14:solidFill>
      </w14:textFill>
    </w:rPr>
  </w:style>
  <w:style w:type="character" w:customStyle="1" w:styleId="161">
    <w:name w:val="Intense Emphasis"/>
    <w:basedOn w:val="134"/>
    <w:qFormat/>
    <w:uiPriority w:val="21"/>
    <w:rPr>
      <w:b/>
      <w:bCs/>
      <w:i/>
      <w:iCs/>
      <w:color w:val="4F81BD" w:themeColor="accent1"/>
      <w14:textFill>
        <w14:solidFill>
          <w14:schemeClr w14:val="accent1"/>
        </w14:solidFill>
      </w14:textFill>
    </w:rPr>
  </w:style>
  <w:style w:type="character" w:customStyle="1" w:styleId="162">
    <w:name w:val="Subtle Reference"/>
    <w:basedOn w:val="134"/>
    <w:qFormat/>
    <w:uiPriority w:val="31"/>
    <w:rPr>
      <w:smallCaps/>
      <w:color w:val="C0504D" w:themeColor="accent2"/>
      <w:u w:val="single"/>
      <w14:textFill>
        <w14:solidFill>
          <w14:schemeClr w14:val="accent2"/>
        </w14:solidFill>
      </w14:textFill>
    </w:rPr>
  </w:style>
  <w:style w:type="character" w:customStyle="1" w:styleId="163">
    <w:name w:val="Intense Reference"/>
    <w:basedOn w:val="134"/>
    <w:qFormat/>
    <w:uiPriority w:val="32"/>
    <w:rPr>
      <w:b/>
      <w:bCs/>
      <w:smallCaps/>
      <w:color w:val="C0504D" w:themeColor="accent2"/>
      <w:spacing w:val="5"/>
      <w:u w:val="single"/>
      <w14:textFill>
        <w14:solidFill>
          <w14:schemeClr w14:val="accent2"/>
        </w14:solidFill>
      </w14:textFill>
    </w:rPr>
  </w:style>
  <w:style w:type="character" w:customStyle="1" w:styleId="164">
    <w:name w:val="Book Title"/>
    <w:basedOn w:val="134"/>
    <w:qFormat/>
    <w:uiPriority w:val="33"/>
    <w:rPr>
      <w:b/>
      <w:bCs/>
      <w:smallCaps/>
      <w:spacing w:val="5"/>
    </w:rPr>
  </w:style>
  <w:style w:type="paragraph" w:customStyle="1" w:styleId="165">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6721</Words>
  <Characters>7099</Characters>
  <Lines>0</Lines>
  <Paragraphs>0</Paragraphs>
  <TotalTime>13</TotalTime>
  <ScaleCrop>false</ScaleCrop>
  <LinksUpToDate>false</LinksUpToDate>
  <CharactersWithSpaces>7141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王腾祺</cp:lastModifiedBy>
  <dcterms:modified xsi:type="dcterms:W3CDTF">2025-11-15T09:42:16Z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eyJoZGlkIjoiZTczYWFkOThlMjE5ZWRmZmFmNDdiOTQxNWJkZDk3YTgiLCJ1c2VySWQiOiIxNDgwMTQyMTM0In0=</vt:lpwstr>
  </property>
  <property fmtid="{D5CDD505-2E9C-101B-9397-08002B2CF9AE}" pid="3" name="KSOProductBuildVer">
    <vt:lpwstr>2052-12.1.0.23542</vt:lpwstr>
  </property>
  <property fmtid="{D5CDD505-2E9C-101B-9397-08002B2CF9AE}" pid="4" name="ICV">
    <vt:lpwstr>728319777F574BACBFFF45EBBC2F0F13_13</vt:lpwstr>
  </property>
</Properties>
</file>