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5DA2C">
      <w:pPr>
        <w:pStyle w:val="3"/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巴彦淖尔市医院胃肠外科医工融合工作室建设实施方案</w:t>
      </w:r>
    </w:p>
    <w:p w14:paraId="6B54C972"/>
    <w:p w14:paraId="5C960632">
      <w:r>
        <w:t>项目名称：胃肠外科医工融合工作室建设</w:t>
      </w:r>
      <w:r>
        <w:br w:type="textWrapping"/>
      </w:r>
      <w:r>
        <w:t>所属项目：国家临床重点专科（肿瘤科）建设项目</w:t>
      </w:r>
      <w:r>
        <w:br w:type="textWrapping"/>
      </w:r>
      <w:r>
        <w:t>牵头科室：胃肠外科</w:t>
      </w:r>
      <w:r>
        <w:br w:type="textWrapping"/>
      </w:r>
      <w:r>
        <w:t>执行周期：2025年12月—2027年7月1日</w:t>
      </w:r>
      <w:r>
        <w:br w:type="textWrapping"/>
      </w:r>
      <w:r>
        <w:t>负责人：王腾祺</w:t>
      </w:r>
    </w:p>
    <w:p w14:paraId="3A69A9F3">
      <w:pPr>
        <w:pStyle w:val="4"/>
      </w:pPr>
      <w:r>
        <w:t>一、项目背景与建设意义</w:t>
      </w:r>
    </w:p>
    <w:p w14:paraId="42C43CB4">
      <w:pPr>
        <w:ind w:firstLine="440" w:firstLineChars="200"/>
      </w:pPr>
      <w:r>
        <w:t>为贯彻落实《国家临床重点专科（肿瘤科）建设方案》</w:t>
      </w:r>
      <w:r>
        <w:rPr>
          <w:rFonts w:hint="eastAsia" w:eastAsia="宋体"/>
          <w:lang w:eastAsia="zh-CN"/>
        </w:rPr>
        <w:t>，</w:t>
      </w:r>
      <w:r>
        <w:rPr>
          <w:rFonts w:hint="eastAsia" w:eastAsia="宋体"/>
          <w:lang w:val="en-US" w:eastAsia="zh-CN"/>
        </w:rPr>
        <w:t>根据</w:t>
      </w:r>
      <w:r>
        <w:t>《巴彦淖尔市医院胃肠</w:t>
      </w:r>
      <w:bookmarkStart w:id="0" w:name="_GoBack"/>
      <w:bookmarkEnd w:id="0"/>
      <w:r>
        <w:t>外科医工融合创新与成果孵化十年行动规划（2025—2035）》，拟在现有专项资金基础上，建设“胃肠外科医工融合工作室”，为未来建立“医工融合实验室”奠定技术与组织基础。</w:t>
      </w:r>
    </w:p>
    <w:p w14:paraId="3FDDBF49">
      <w:pPr>
        <w:ind w:firstLine="440" w:firstLineChars="200"/>
      </w:pPr>
      <w:r>
        <w:t>该工作室的建设遵循“</w:t>
      </w:r>
      <w:r>
        <w:rPr>
          <w:b/>
          <w:bCs/>
        </w:rPr>
        <w:t>以课题为牵引、以合作为支撑、以DIO模型为路径</w:t>
      </w:r>
      <w:r>
        <w:t>”的建设原则，聚焦三大研发主线：</w:t>
      </w:r>
      <w:r>
        <w:br w:type="textWrapping"/>
      </w:r>
      <w:r>
        <w:t>1. 腹腔镜智能手术机器人系统；</w:t>
      </w:r>
      <w:r>
        <w:br w:type="textWrapping"/>
      </w:r>
      <w:r>
        <w:t>2. 机器人化胃肠镜系统；</w:t>
      </w:r>
      <w:r>
        <w:br w:type="textWrapping"/>
      </w:r>
      <w:r>
        <w:t>3. 认知型电子病历（C-EMR）平台。</w:t>
      </w:r>
    </w:p>
    <w:p w14:paraId="08C9F252">
      <w:pPr>
        <w:ind w:firstLine="440" w:firstLineChars="200"/>
      </w:pPr>
      <w:r>
        <w:t>工作室旨在通过联合科研课题和跨校协作，形成“</w:t>
      </w:r>
      <w:r>
        <w:rPr>
          <w:b/>
          <w:bCs/>
        </w:rPr>
        <w:t>临床主导—工程支撑—产研结合</w:t>
      </w:r>
      <w:r>
        <w:t>”的多维医工交叉体系，为肿瘤诊疗创新、设备转化、注册研究与成果孵化提供系统支撑。</w:t>
      </w:r>
    </w:p>
    <w:p w14:paraId="5ED26F7E">
      <w:pPr>
        <w:pStyle w:val="4"/>
      </w:pPr>
      <w:r>
        <w:t>二、建设目标</w:t>
      </w:r>
    </w:p>
    <w:p w14:paraId="1D915871">
      <w:r>
        <w:rPr>
          <w:b/>
          <w:bCs/>
        </w:rPr>
        <w:t>1. 定位目标：</w:t>
      </w:r>
      <w:r>
        <w:t>建立一个以科研课题为牵引、为医工融合实验室建设提供先导支撑的科研平台。</w:t>
      </w:r>
    </w:p>
    <w:p w14:paraId="39B09121">
      <w:r>
        <w:rPr>
          <w:b/>
          <w:bCs/>
        </w:rPr>
        <w:t>2. 学科目标：</w:t>
      </w:r>
      <w:r>
        <w:t>推动胃肠外科在“智能微创与医工融合”方向形成稳定科研梯队。</w:t>
      </w:r>
    </w:p>
    <w:p w14:paraId="65F3DBE6">
      <w:r>
        <w:rPr>
          <w:b/>
          <w:bCs/>
        </w:rPr>
        <w:t>3. 科研目标：</w:t>
      </w:r>
      <w:r>
        <w:t>形成“三主线+三课题群”结构，2025–2027年联合高校申报科研项目≥6项。</w:t>
      </w:r>
    </w:p>
    <w:p w14:paraId="1D1C7636">
      <w:r>
        <w:rPr>
          <w:b/>
          <w:bCs/>
        </w:rPr>
        <w:t>4. 成果目标：</w:t>
      </w:r>
      <w:r>
        <w:t>产出发明专利≥3项、发表SCI/核心论文≥3篇、形成原理验证系统≥2套。</w:t>
      </w:r>
    </w:p>
    <w:p w14:paraId="763AC61F">
      <w:r>
        <w:rPr>
          <w:b/>
          <w:bCs/>
        </w:rPr>
        <w:t>5. 转化目标：</w:t>
      </w:r>
      <w:r>
        <w:t>形成工程原型及注册预研材料，支撑自治区级或国家级项目申请。</w:t>
      </w:r>
    </w:p>
    <w:p w14:paraId="2DB8234A">
      <w:pPr>
        <w:pStyle w:val="4"/>
      </w:pPr>
      <w:r>
        <w:t>三、建设思路与方法</w:t>
      </w:r>
    </w:p>
    <w:p w14:paraId="622B8D32">
      <w:r>
        <w:rPr>
          <w:b/>
          <w:bCs/>
        </w:rPr>
        <w:t>（一）建设原则：</w:t>
      </w:r>
      <w:r>
        <w:t>遵循DIO模型（Discipline Input–Output–Regeneration），实现学科投入–产出–再生循环。</w:t>
      </w:r>
    </w:p>
    <w:p w14:paraId="0D87DC51">
      <w:r>
        <w:rPr>
          <w:b/>
          <w:bCs/>
        </w:rPr>
        <w:t>（二）建设路径：</w:t>
      </w:r>
      <w:r>
        <w:t>以课题为牵引、合作为驱动、实验室为愿景，形成滚动建设机制。</w:t>
      </w:r>
    </w:p>
    <w:p w14:paraId="28D0EEF2">
      <w:pPr>
        <w:pStyle w:val="4"/>
      </w:pPr>
      <w:r>
        <w:t>四、建设内容与阶段目标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57"/>
        <w:gridCol w:w="1728"/>
        <w:gridCol w:w="1728"/>
        <w:gridCol w:w="1728"/>
      </w:tblGrid>
      <w:tr w14:paraId="199F9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Align w:val="center"/>
          </w:tcPr>
          <w:p w14:paraId="67F0614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阶段</w:t>
            </w:r>
          </w:p>
        </w:tc>
        <w:tc>
          <w:tcPr>
            <w:tcW w:w="1728" w:type="dxa"/>
            <w:vAlign w:val="center"/>
          </w:tcPr>
          <w:p w14:paraId="49CC7E8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时间</w:t>
            </w:r>
          </w:p>
        </w:tc>
        <w:tc>
          <w:tcPr>
            <w:tcW w:w="1728" w:type="dxa"/>
            <w:vAlign w:val="center"/>
          </w:tcPr>
          <w:p w14:paraId="441E61F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建设重点</w:t>
            </w:r>
          </w:p>
        </w:tc>
        <w:tc>
          <w:tcPr>
            <w:tcW w:w="1728" w:type="dxa"/>
            <w:vAlign w:val="center"/>
          </w:tcPr>
          <w:p w14:paraId="6AA4594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主要内容</w:t>
            </w:r>
          </w:p>
        </w:tc>
        <w:tc>
          <w:tcPr>
            <w:tcW w:w="1728" w:type="dxa"/>
            <w:vAlign w:val="center"/>
          </w:tcPr>
          <w:p w14:paraId="55DDA4A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预期成果</w:t>
            </w:r>
          </w:p>
        </w:tc>
      </w:tr>
      <w:tr w14:paraId="7AEEE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Align w:val="center"/>
          </w:tcPr>
          <w:p w14:paraId="15E6E0EE">
            <w:pPr>
              <w:jc w:val="both"/>
            </w:pPr>
            <w:r>
              <w:t>Ⅰ期 启动阶段</w:t>
            </w:r>
          </w:p>
        </w:tc>
        <w:tc>
          <w:tcPr>
            <w:tcW w:w="1728" w:type="dxa"/>
            <w:vAlign w:val="center"/>
          </w:tcPr>
          <w:p w14:paraId="09AFF9EF">
            <w:pPr>
              <w:jc w:val="both"/>
            </w:pPr>
            <w:r>
              <w:t>2025.12–2026.6</w:t>
            </w:r>
          </w:p>
        </w:tc>
        <w:tc>
          <w:tcPr>
            <w:tcW w:w="1728" w:type="dxa"/>
            <w:vAlign w:val="center"/>
          </w:tcPr>
          <w:p w14:paraId="0E0F5AE6">
            <w:pPr>
              <w:jc w:val="both"/>
            </w:pPr>
            <w:r>
              <w:t>基础建设与平台搭建</w:t>
            </w:r>
          </w:p>
        </w:tc>
        <w:tc>
          <w:tcPr>
            <w:tcW w:w="1728" w:type="dxa"/>
            <w:vAlign w:val="center"/>
          </w:tcPr>
          <w:p w14:paraId="2FCDD516">
            <w:pPr>
              <w:jc w:val="both"/>
            </w:pPr>
            <w:r>
              <w:t>实验环境建设、机械臂平台购置、仿真与视觉系统搭建</w:t>
            </w:r>
          </w:p>
        </w:tc>
        <w:tc>
          <w:tcPr>
            <w:tcW w:w="1728" w:type="dxa"/>
            <w:vAlign w:val="center"/>
          </w:tcPr>
          <w:p w14:paraId="6A69627D">
            <w:pPr>
              <w:jc w:val="both"/>
            </w:pPr>
            <w:r>
              <w:t>建成工作室原型平台；发表论文1篇</w:t>
            </w:r>
          </w:p>
        </w:tc>
      </w:tr>
      <w:tr w14:paraId="7C4B4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Align w:val="center"/>
          </w:tcPr>
          <w:p w14:paraId="3314DDA4">
            <w:pPr>
              <w:jc w:val="both"/>
            </w:pPr>
            <w:r>
              <w:t>Ⅱ期 联合研究阶段</w:t>
            </w:r>
          </w:p>
        </w:tc>
        <w:tc>
          <w:tcPr>
            <w:tcW w:w="1728" w:type="dxa"/>
            <w:vAlign w:val="center"/>
          </w:tcPr>
          <w:p w14:paraId="129B621B">
            <w:pPr>
              <w:jc w:val="both"/>
            </w:pPr>
            <w:r>
              <w:t>2026.7–2027.3</w:t>
            </w:r>
          </w:p>
        </w:tc>
        <w:tc>
          <w:tcPr>
            <w:tcW w:w="1728" w:type="dxa"/>
            <w:vAlign w:val="center"/>
          </w:tcPr>
          <w:p w14:paraId="1F137BE3">
            <w:pPr>
              <w:jc w:val="both"/>
            </w:pPr>
            <w:r>
              <w:t>课题协作与成果生成</w:t>
            </w:r>
          </w:p>
        </w:tc>
        <w:tc>
          <w:tcPr>
            <w:tcW w:w="1728" w:type="dxa"/>
            <w:vAlign w:val="center"/>
          </w:tcPr>
          <w:p w14:paraId="19EA25F7">
            <w:pPr>
              <w:jc w:val="both"/>
            </w:pPr>
            <w:r>
              <w:t>西交大、哈工大、清华大学联合课题研究；C-EMR系统原型验证</w:t>
            </w:r>
          </w:p>
        </w:tc>
        <w:tc>
          <w:tcPr>
            <w:tcW w:w="1728" w:type="dxa"/>
            <w:vAlign w:val="center"/>
          </w:tcPr>
          <w:p w14:paraId="08DF2BE4">
            <w:pPr>
              <w:jc w:val="both"/>
            </w:pPr>
            <w:r>
              <w:t>申请自治区/市级项目≥3项；专利2项</w:t>
            </w:r>
          </w:p>
        </w:tc>
      </w:tr>
      <w:tr w14:paraId="7A92A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Align w:val="center"/>
          </w:tcPr>
          <w:p w14:paraId="272C61BD">
            <w:pPr>
              <w:jc w:val="both"/>
            </w:pPr>
            <w:r>
              <w:t>Ⅲ期 再生阶段</w:t>
            </w:r>
          </w:p>
        </w:tc>
        <w:tc>
          <w:tcPr>
            <w:tcW w:w="1728" w:type="dxa"/>
            <w:vAlign w:val="center"/>
          </w:tcPr>
          <w:p w14:paraId="36938C02">
            <w:pPr>
              <w:jc w:val="both"/>
            </w:pPr>
            <w:r>
              <w:t>2027.4–2027.7</w:t>
            </w:r>
          </w:p>
        </w:tc>
        <w:tc>
          <w:tcPr>
            <w:tcW w:w="1728" w:type="dxa"/>
            <w:vAlign w:val="center"/>
          </w:tcPr>
          <w:p w14:paraId="010E130F">
            <w:pPr>
              <w:jc w:val="both"/>
            </w:pPr>
            <w:r>
              <w:t>实验室升级准备</w:t>
            </w:r>
          </w:p>
        </w:tc>
        <w:tc>
          <w:tcPr>
            <w:tcW w:w="1728" w:type="dxa"/>
            <w:vAlign w:val="center"/>
          </w:tcPr>
          <w:p w14:paraId="01E57156">
            <w:pPr>
              <w:jc w:val="both"/>
            </w:pPr>
            <w:r>
              <w:t>总结DIO模式经验，筹备实验室资质评估</w:t>
            </w:r>
          </w:p>
        </w:tc>
        <w:tc>
          <w:tcPr>
            <w:tcW w:w="1728" w:type="dxa"/>
            <w:vAlign w:val="center"/>
          </w:tcPr>
          <w:p w14:paraId="7C066A24">
            <w:pPr>
              <w:jc w:val="both"/>
            </w:pPr>
            <w:r>
              <w:t>形成医工融合实验室建设方案与注册备案文件</w:t>
            </w:r>
          </w:p>
        </w:tc>
      </w:tr>
    </w:tbl>
    <w:p w14:paraId="101B95EC">
      <w:pPr>
        <w:pStyle w:val="4"/>
      </w:pPr>
      <w:r>
        <w:t>五、组织架构与管理机制</w:t>
      </w:r>
    </w:p>
    <w:p w14:paraId="584AB654">
      <w:r>
        <w:rPr>
          <w:b/>
          <w:bCs/>
        </w:rPr>
        <w:t>项目负责人：</w:t>
      </w:r>
      <w:r>
        <w:t>王腾祺；</w:t>
      </w:r>
    </w:p>
    <w:p w14:paraId="21AB73AF">
      <w:r>
        <w:rPr>
          <w:b/>
          <w:bCs/>
        </w:rPr>
        <w:t>副负责人：</w:t>
      </w:r>
      <w:r>
        <w:t>庞健、强华、段旭。</w:t>
      </w:r>
      <w:r>
        <w:br w:type="textWrapping"/>
      </w:r>
      <w:r>
        <w:rPr>
          <w:b/>
          <w:bCs/>
        </w:rPr>
        <w:t>合作顾问组：</w:t>
      </w:r>
      <w:r>
        <w:t>西安交通大学、哈尔滨工业大学、清华大学专家组。</w:t>
      </w:r>
      <w:r>
        <w:br w:type="textWrapping"/>
      </w:r>
      <w:r>
        <w:rPr>
          <w:b/>
          <w:bCs/>
        </w:rPr>
        <w:t>管理协调组：</w:t>
      </w:r>
      <w:r>
        <w:rPr>
          <w:rFonts w:hint="eastAsia" w:eastAsia="宋体"/>
          <w:b w:val="0"/>
          <w:bCs w:val="0"/>
          <w:lang w:val="en-US" w:eastAsia="zh-CN"/>
        </w:rPr>
        <w:t>医务科、</w:t>
      </w:r>
      <w:r>
        <w:t>科研科、医学工程科、财务科。</w:t>
      </w:r>
    </w:p>
    <w:p w14:paraId="401CE8F1">
      <w:pPr>
        <w:pStyle w:val="4"/>
      </w:pPr>
      <w:r>
        <w:t>六、资金来源与预算计划</w:t>
      </w:r>
    </w:p>
    <w:p w14:paraId="27BDB18F">
      <w:pPr>
        <w:ind w:firstLine="440" w:firstLineChars="200"/>
      </w:pPr>
      <w:r>
        <w:t>资金来源包括肿瘤科专项资金（最高可用额度100万元）与胃肠外科学科建设经费（每年10万元），实行年度绩效评估与分期投入机制。</w:t>
      </w:r>
    </w:p>
    <w:tbl>
      <w:tblPr>
        <w:tblStyle w:val="33"/>
        <w:tblW w:w="88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9"/>
        <w:gridCol w:w="3317"/>
        <w:gridCol w:w="1458"/>
        <w:gridCol w:w="2242"/>
      </w:tblGrid>
      <w:tr w14:paraId="5C61C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39" w:type="dxa"/>
            <w:vAlign w:val="center"/>
          </w:tcPr>
          <w:p w14:paraId="1634490C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类别</w:t>
            </w:r>
          </w:p>
        </w:tc>
        <w:tc>
          <w:tcPr>
            <w:tcW w:w="3317" w:type="dxa"/>
            <w:vAlign w:val="center"/>
          </w:tcPr>
          <w:p w14:paraId="148A20B5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内容</w:t>
            </w:r>
          </w:p>
        </w:tc>
        <w:tc>
          <w:tcPr>
            <w:tcW w:w="1458" w:type="dxa"/>
            <w:vAlign w:val="center"/>
          </w:tcPr>
          <w:p w14:paraId="46D1AA80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金额</w:t>
            </w:r>
          </w:p>
          <w:p w14:paraId="13E39F8D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（万元）</w:t>
            </w:r>
          </w:p>
        </w:tc>
        <w:tc>
          <w:tcPr>
            <w:tcW w:w="2242" w:type="dxa"/>
            <w:vAlign w:val="center"/>
          </w:tcPr>
          <w:p w14:paraId="16A2EEE8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资金来源</w:t>
            </w:r>
          </w:p>
        </w:tc>
      </w:tr>
      <w:tr w14:paraId="0C8E4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9" w:type="dxa"/>
            <w:vAlign w:val="center"/>
          </w:tcPr>
          <w:p w14:paraId="56DDAC8D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场地与基础设施</w:t>
            </w:r>
          </w:p>
        </w:tc>
        <w:tc>
          <w:tcPr>
            <w:tcW w:w="3317" w:type="dxa"/>
            <w:vAlign w:val="center"/>
          </w:tcPr>
          <w:p w14:paraId="5B3FD07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装修、电气改造、通风空调</w:t>
            </w:r>
          </w:p>
        </w:tc>
        <w:tc>
          <w:tcPr>
            <w:tcW w:w="1458" w:type="dxa"/>
            <w:vAlign w:val="center"/>
          </w:tcPr>
          <w:p w14:paraId="1B3FFBA6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t>25</w:t>
            </w:r>
          </w:p>
        </w:tc>
        <w:tc>
          <w:tcPr>
            <w:tcW w:w="2242" w:type="dxa"/>
            <w:vAlign w:val="center"/>
          </w:tcPr>
          <w:p w14:paraId="1B6504BB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肿瘤科专项资金</w:t>
            </w:r>
          </w:p>
        </w:tc>
      </w:tr>
      <w:tr w14:paraId="11CC4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9" w:type="dxa"/>
            <w:vAlign w:val="center"/>
          </w:tcPr>
          <w:p w14:paraId="78B1737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核心设备</w:t>
            </w:r>
          </w:p>
        </w:tc>
        <w:tc>
          <w:tcPr>
            <w:tcW w:w="3317" w:type="dxa"/>
            <w:vAlign w:val="center"/>
          </w:tcPr>
          <w:p w14:paraId="2FADEA21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机械臂平台、视觉系统、AI工作站</w:t>
            </w:r>
          </w:p>
        </w:tc>
        <w:tc>
          <w:tcPr>
            <w:tcW w:w="1458" w:type="dxa"/>
            <w:vAlign w:val="center"/>
          </w:tcPr>
          <w:p w14:paraId="4D0063E8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t>60</w:t>
            </w:r>
          </w:p>
        </w:tc>
        <w:tc>
          <w:tcPr>
            <w:tcW w:w="2242" w:type="dxa"/>
            <w:vAlign w:val="center"/>
          </w:tcPr>
          <w:p w14:paraId="0A2EED4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肿瘤科专项资金</w:t>
            </w:r>
          </w:p>
        </w:tc>
      </w:tr>
      <w:tr w14:paraId="7AF5D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9" w:type="dxa"/>
            <w:vAlign w:val="center"/>
          </w:tcPr>
          <w:p w14:paraId="5640031D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软件系统</w:t>
            </w:r>
          </w:p>
        </w:tc>
        <w:tc>
          <w:tcPr>
            <w:tcW w:w="3317" w:type="dxa"/>
            <w:vAlign w:val="center"/>
          </w:tcPr>
          <w:p w14:paraId="5E9B67C2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仿真建模系统、C-EMR测试平台</w:t>
            </w:r>
          </w:p>
        </w:tc>
        <w:tc>
          <w:tcPr>
            <w:tcW w:w="1458" w:type="dxa"/>
            <w:vAlign w:val="center"/>
          </w:tcPr>
          <w:p w14:paraId="3CCCFC3A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t>15</w:t>
            </w:r>
          </w:p>
        </w:tc>
        <w:tc>
          <w:tcPr>
            <w:tcW w:w="2242" w:type="dxa"/>
            <w:vAlign w:val="center"/>
          </w:tcPr>
          <w:p w14:paraId="0AA9E8DA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肿瘤科专项资金</w:t>
            </w:r>
          </w:p>
        </w:tc>
      </w:tr>
      <w:tr w14:paraId="3F075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9" w:type="dxa"/>
            <w:vAlign w:val="center"/>
          </w:tcPr>
          <w:p w14:paraId="35B67828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联合课题与顾问费</w:t>
            </w:r>
          </w:p>
        </w:tc>
        <w:tc>
          <w:tcPr>
            <w:tcW w:w="3317" w:type="dxa"/>
            <w:vAlign w:val="center"/>
          </w:tcPr>
          <w:p w14:paraId="3CF3B608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合作单位顾问、课题配套</w:t>
            </w:r>
          </w:p>
        </w:tc>
        <w:tc>
          <w:tcPr>
            <w:tcW w:w="1458" w:type="dxa"/>
            <w:vAlign w:val="center"/>
          </w:tcPr>
          <w:p w14:paraId="065CEF1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t>20</w:t>
            </w:r>
          </w:p>
        </w:tc>
        <w:tc>
          <w:tcPr>
            <w:tcW w:w="2242" w:type="dxa"/>
            <w:vAlign w:val="center"/>
          </w:tcPr>
          <w:p w14:paraId="066C009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肿瘤科专项资金</w:t>
            </w:r>
          </w:p>
        </w:tc>
      </w:tr>
      <w:tr w14:paraId="3B139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9" w:type="dxa"/>
            <w:vAlign w:val="center"/>
          </w:tcPr>
          <w:p w14:paraId="33AB85B3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数据安全与维护</w:t>
            </w:r>
          </w:p>
        </w:tc>
        <w:tc>
          <w:tcPr>
            <w:tcW w:w="3317" w:type="dxa"/>
            <w:vAlign w:val="center"/>
          </w:tcPr>
          <w:p w14:paraId="5C7B3822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内网数据系统与服务器</w:t>
            </w:r>
          </w:p>
        </w:tc>
        <w:tc>
          <w:tcPr>
            <w:tcW w:w="1458" w:type="dxa"/>
            <w:vAlign w:val="center"/>
          </w:tcPr>
          <w:p w14:paraId="2C4379F7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t>10</w:t>
            </w:r>
          </w:p>
        </w:tc>
        <w:tc>
          <w:tcPr>
            <w:tcW w:w="2242" w:type="dxa"/>
            <w:vAlign w:val="center"/>
          </w:tcPr>
          <w:p w14:paraId="3513F3D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胃肠外科学科建设经费</w:t>
            </w:r>
          </w:p>
        </w:tc>
      </w:tr>
      <w:tr w14:paraId="71FC6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39" w:type="dxa"/>
            <w:vAlign w:val="center"/>
          </w:tcPr>
          <w:p w14:paraId="695E1FB0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人才培养与差旅</w:t>
            </w:r>
          </w:p>
        </w:tc>
        <w:tc>
          <w:tcPr>
            <w:tcW w:w="3317" w:type="dxa"/>
            <w:vAlign w:val="center"/>
          </w:tcPr>
          <w:p w14:paraId="34E3210A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培训、外派学习</w:t>
            </w:r>
          </w:p>
        </w:tc>
        <w:tc>
          <w:tcPr>
            <w:tcW w:w="1458" w:type="dxa"/>
            <w:vAlign w:val="center"/>
          </w:tcPr>
          <w:p w14:paraId="325C0AC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</w:pPr>
            <w:r>
              <w:t>7</w:t>
            </w:r>
          </w:p>
        </w:tc>
        <w:tc>
          <w:tcPr>
            <w:tcW w:w="2242" w:type="dxa"/>
            <w:vAlign w:val="center"/>
          </w:tcPr>
          <w:p w14:paraId="7E618DD3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left"/>
            </w:pPr>
            <w:r>
              <w:t>胃肠外科学科建设经费</w:t>
            </w:r>
          </w:p>
        </w:tc>
      </w:tr>
    </w:tbl>
    <w:p w14:paraId="073C5E74">
      <w:r>
        <w:t>合计：137万元</w:t>
      </w:r>
    </w:p>
    <w:p w14:paraId="1401BDFA">
      <w:pPr>
        <w:pStyle w:val="4"/>
      </w:pPr>
      <w:r>
        <w:t>七、绩效目标与考核指标</w:t>
      </w:r>
    </w:p>
    <w:p w14:paraId="18503CD1">
      <w:r>
        <w:rPr>
          <w:b/>
          <w:bCs/>
        </w:rPr>
        <w:t>科研成果：</w:t>
      </w:r>
      <w:r>
        <w:t>SCI/核心论文≥3篇，专利≥3项。项目申报：立项≥6项（含自治区级≥2项）。</w:t>
      </w:r>
    </w:p>
    <w:p w14:paraId="04396CC1">
      <w:pPr>
        <w:pStyle w:val="4"/>
      </w:pPr>
      <w:r>
        <w:t>八、风险防控与运行机制</w:t>
      </w:r>
    </w:p>
    <w:p w14:paraId="612B8201">
      <w:r>
        <w:t>实行年度审核与分期拨款；季度进度评估；高校技术审查；成果知识产权备案。</w:t>
      </w:r>
    </w:p>
    <w:p w14:paraId="197B7868">
      <w:pPr>
        <w:pStyle w:val="4"/>
      </w:pPr>
      <w:r>
        <w:t>九、附则</w:t>
      </w:r>
    </w:p>
    <w:p w14:paraId="0E61DCFD">
      <w:pPr>
        <w:ind w:firstLine="440" w:firstLineChars="200"/>
      </w:pPr>
      <w:r>
        <w:t>本方案经巴彦淖尔市医院专项资金管理委员会审议通过后执行，执行周期为2025年12月至2027年7月1日。建设成果纳入国家临床重点专科（肿瘤科）绩效考核体系。</w:t>
      </w:r>
    </w:p>
    <w:p w14:paraId="1647D014">
      <w:pPr>
        <w:pStyle w:val="4"/>
        <w:bidi w:val="0"/>
        <w:rPr>
          <w:rFonts w:hint="eastAsia"/>
        </w:rPr>
      </w:pPr>
      <w:r>
        <w:rPr>
          <w:rFonts w:hint="eastAsia" w:eastAsia="宋体"/>
          <w:lang w:val="en-US" w:eastAsia="zh-CN"/>
        </w:rPr>
        <w:t>附件一 ：</w:t>
      </w:r>
      <w:r>
        <w:rPr>
          <w:rFonts w:hint="eastAsia"/>
        </w:rPr>
        <w:t>附表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/>
        </w:rPr>
        <w:t>胃肠外科医工融合工作室建设预算明细表</w:t>
      </w:r>
    </w:p>
    <w:tbl>
      <w:tblPr>
        <w:tblStyle w:val="33"/>
        <w:tblW w:w="8855" w:type="dxa"/>
        <w:jc w:val="center"/>
        <w:tblBorders>
          <w:top w:val="single" w:color="A3A3A3" w:sz="8" w:space="0"/>
          <w:left w:val="single" w:color="A3A3A3" w:sz="8" w:space="0"/>
          <w:bottom w:val="single" w:color="A3A3A3" w:sz="8" w:space="0"/>
          <w:right w:val="single" w:color="A3A3A3" w:sz="8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2667"/>
        <w:gridCol w:w="695"/>
        <w:gridCol w:w="1449"/>
        <w:gridCol w:w="1449"/>
        <w:gridCol w:w="1177"/>
      </w:tblGrid>
      <w:tr w14:paraId="61BA2146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41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EBA11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266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46832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</w:t>
            </w:r>
          </w:p>
        </w:tc>
        <w:tc>
          <w:tcPr>
            <w:tcW w:w="69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70F27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A0070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单价</w:t>
            </w:r>
          </w:p>
          <w:p w14:paraId="26A0B987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（万元）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683A9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小计</w:t>
            </w:r>
          </w:p>
          <w:p w14:paraId="64E6283C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（万元）</w:t>
            </w:r>
          </w:p>
        </w:tc>
        <w:tc>
          <w:tcPr>
            <w:tcW w:w="117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0976AD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资金来源</w:t>
            </w:r>
          </w:p>
        </w:tc>
      </w:tr>
      <w:tr w14:paraId="58A7BB59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8" w:type="dxa"/>
            <w:vMerge w:val="restart"/>
            <w:tcBorders>
              <w:top w:val="single" w:color="A3A3A3" w:sz="8" w:space="0"/>
              <w:left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29E85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ＭＳ 明朝" w:eastAsia="宋体" w:cs="ＭＳ 明朝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基础设施</w:t>
            </w:r>
          </w:p>
        </w:tc>
        <w:tc>
          <w:tcPr>
            <w:tcW w:w="266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2EEAA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实验室装修与电气改造</w:t>
            </w:r>
          </w:p>
        </w:tc>
        <w:tc>
          <w:tcPr>
            <w:tcW w:w="69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E8F68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1套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840C4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CE230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</w:t>
            </w:r>
          </w:p>
        </w:tc>
        <w:tc>
          <w:tcPr>
            <w:tcW w:w="117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C9003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结余资金</w:t>
            </w:r>
          </w:p>
        </w:tc>
      </w:tr>
      <w:tr w14:paraId="2F112EAA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8" w:type="dxa"/>
            <w:vMerge w:val="continue"/>
            <w:tcBorders>
              <w:left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8FB89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ascii="宋体" w:hAnsi="ＭＳ 明朝" w:eastAsia="宋体" w:cs="ＭＳ 明朝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A6683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通风空调与安全系统</w:t>
            </w:r>
          </w:p>
        </w:tc>
        <w:tc>
          <w:tcPr>
            <w:tcW w:w="69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6E8E7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1套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82814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B1998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17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81D32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结余资金</w:t>
            </w:r>
          </w:p>
        </w:tc>
      </w:tr>
      <w:tr w14:paraId="6A31A691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8" w:type="dxa"/>
            <w:vMerge w:val="continue"/>
            <w:tcBorders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CB837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ＭＳ 明朝" w:eastAsia="宋体" w:cs="ＭＳ 明朝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9D767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实验台与支撑设施</w:t>
            </w:r>
          </w:p>
        </w:tc>
        <w:tc>
          <w:tcPr>
            <w:tcW w:w="69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4595F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若干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C68E8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2B639B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117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F506D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结余资金</w:t>
            </w:r>
          </w:p>
        </w:tc>
      </w:tr>
      <w:tr w14:paraId="744E1D81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8" w:type="dxa"/>
            <w:vMerge w:val="restart"/>
            <w:tcBorders>
              <w:top w:val="single" w:color="A3A3A3" w:sz="8" w:space="0"/>
              <w:left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C31BF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ＭＳ 明朝" w:eastAsia="宋体" w:cs="ＭＳ 明朝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核心硬件</w:t>
            </w:r>
          </w:p>
        </w:tc>
        <w:tc>
          <w:tcPr>
            <w:tcW w:w="266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8F65F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手控机械臂实验平台</w:t>
            </w:r>
          </w:p>
        </w:tc>
        <w:tc>
          <w:tcPr>
            <w:tcW w:w="69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57D04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1套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18796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C0ECF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25</w:t>
            </w:r>
          </w:p>
        </w:tc>
        <w:tc>
          <w:tcPr>
            <w:tcW w:w="117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3C00D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结余资金</w:t>
            </w:r>
          </w:p>
        </w:tc>
      </w:tr>
      <w:tr w14:paraId="7CFD8EC2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8" w:type="dxa"/>
            <w:vMerge w:val="continue"/>
            <w:tcBorders>
              <w:left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ECF54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ＭＳ 明朝" w:eastAsia="宋体" w:cs="ＭＳ 明朝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03C5A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电机伺服系统</w:t>
            </w:r>
          </w:p>
        </w:tc>
        <w:tc>
          <w:tcPr>
            <w:tcW w:w="69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B16B3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1套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BBC5F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C614CF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117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A4F52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结余资金</w:t>
            </w:r>
          </w:p>
        </w:tc>
      </w:tr>
      <w:tr w14:paraId="1A552696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8" w:type="dxa"/>
            <w:vMerge w:val="continue"/>
            <w:tcBorders>
              <w:left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AA98D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ＭＳ 明朝" w:eastAsia="宋体" w:cs="ＭＳ 明朝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8C2E1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力/扭矩传感器套组</w:t>
            </w:r>
          </w:p>
        </w:tc>
        <w:tc>
          <w:tcPr>
            <w:tcW w:w="69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4B934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1套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B8D97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84CD7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17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397E2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结余资金</w:t>
            </w:r>
          </w:p>
        </w:tc>
      </w:tr>
      <w:tr w14:paraId="23BC2EEE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8" w:type="dxa"/>
            <w:vMerge w:val="continue"/>
            <w:tcBorders>
              <w:left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3C9A9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ＭＳ 明朝" w:eastAsia="宋体" w:cs="ＭＳ 明朝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49E85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工业相机与光源系统</w:t>
            </w:r>
          </w:p>
        </w:tc>
        <w:tc>
          <w:tcPr>
            <w:tcW w:w="69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1F958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2套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DF8CA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DE60E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117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7EED2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结余资金</w:t>
            </w:r>
          </w:p>
        </w:tc>
      </w:tr>
      <w:tr w14:paraId="63F9CB61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8" w:type="dxa"/>
            <w:vMerge w:val="continue"/>
            <w:tcBorders>
              <w:left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88650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ＭＳ 明朝" w:eastAsia="宋体" w:cs="ＭＳ 明朝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6305D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GPU高性能工作站</w:t>
            </w:r>
          </w:p>
        </w:tc>
        <w:tc>
          <w:tcPr>
            <w:tcW w:w="69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84761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2台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4E1BC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731EA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24</w:t>
            </w:r>
          </w:p>
        </w:tc>
        <w:tc>
          <w:tcPr>
            <w:tcW w:w="117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25F6D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结余资金</w:t>
            </w:r>
          </w:p>
        </w:tc>
      </w:tr>
      <w:tr w14:paraId="3E52BD38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8" w:type="dxa"/>
            <w:vMerge w:val="continue"/>
            <w:tcBorders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3EBAC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ＭＳ 明朝" w:eastAsia="宋体" w:cs="ＭＳ 明朝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BF5A9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仿真与力反馈平台</w:t>
            </w:r>
          </w:p>
        </w:tc>
        <w:tc>
          <w:tcPr>
            <w:tcW w:w="69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A21D4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1套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3B0A7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AFD08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</w:t>
            </w:r>
          </w:p>
        </w:tc>
        <w:tc>
          <w:tcPr>
            <w:tcW w:w="117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4FC9B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结余资金</w:t>
            </w:r>
          </w:p>
        </w:tc>
      </w:tr>
      <w:tr w14:paraId="76BE3871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8" w:type="dxa"/>
            <w:vMerge w:val="restart"/>
            <w:tcBorders>
              <w:top w:val="single" w:color="A3A3A3" w:sz="8" w:space="0"/>
              <w:left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0DCC8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ＭＳ 明朝" w:eastAsia="宋体" w:cs="ＭＳ 明朝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软件与平台</w:t>
            </w:r>
          </w:p>
        </w:tc>
        <w:tc>
          <w:tcPr>
            <w:tcW w:w="266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36F17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SolidWorks/Matlab授权</w:t>
            </w:r>
          </w:p>
        </w:tc>
        <w:tc>
          <w:tcPr>
            <w:tcW w:w="69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C525E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套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22E2C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1D5EF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</w:t>
            </w:r>
          </w:p>
        </w:tc>
        <w:tc>
          <w:tcPr>
            <w:tcW w:w="117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1592A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结余资金</w:t>
            </w:r>
          </w:p>
        </w:tc>
      </w:tr>
      <w:tr w14:paraId="7258233E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8" w:type="dxa"/>
            <w:vMerge w:val="continue"/>
            <w:tcBorders>
              <w:left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65646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ＭＳ 明朝" w:eastAsia="宋体" w:cs="ＭＳ 明朝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6F5FA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C-EMR试验数据库</w:t>
            </w:r>
          </w:p>
        </w:tc>
        <w:tc>
          <w:tcPr>
            <w:tcW w:w="69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0498F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套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3C606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EC5D4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17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73A59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结余资金</w:t>
            </w:r>
          </w:p>
        </w:tc>
      </w:tr>
      <w:tr w14:paraId="34C8217F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8" w:type="dxa"/>
            <w:vMerge w:val="continue"/>
            <w:tcBorders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9845A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ＭＳ 明朝" w:eastAsia="宋体" w:cs="ＭＳ 明朝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C4F53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数据备份服务器</w:t>
            </w:r>
          </w:p>
        </w:tc>
        <w:tc>
          <w:tcPr>
            <w:tcW w:w="69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D652A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套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94266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6FCC0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117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3BFE8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科研基金</w:t>
            </w:r>
          </w:p>
        </w:tc>
      </w:tr>
      <w:tr w14:paraId="469F0508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8" w:type="dxa"/>
            <w:vMerge w:val="restart"/>
            <w:tcBorders>
              <w:top w:val="single" w:color="A3A3A3" w:sz="8" w:space="0"/>
              <w:left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CB573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ＭＳ 明朝" w:eastAsia="宋体" w:cs="ＭＳ 明朝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人才与运行</w:t>
            </w:r>
          </w:p>
        </w:tc>
        <w:tc>
          <w:tcPr>
            <w:tcW w:w="266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CEC32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外聘顾问费</w:t>
            </w:r>
          </w:p>
        </w:tc>
        <w:tc>
          <w:tcPr>
            <w:tcW w:w="69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429E3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若干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06345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801C5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117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BE994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科研基金</w:t>
            </w:r>
          </w:p>
        </w:tc>
      </w:tr>
      <w:tr w14:paraId="51CC3591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8" w:type="dxa"/>
            <w:vMerge w:val="continue"/>
            <w:tcBorders>
              <w:left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4C6A4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ＭＳ 明朝" w:eastAsia="宋体" w:cs="ＭＳ 明朝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A2AB0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科研助理与助研费</w:t>
            </w:r>
          </w:p>
        </w:tc>
        <w:tc>
          <w:tcPr>
            <w:tcW w:w="69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B1926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若干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CF976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528B3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117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DB439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科研基金</w:t>
            </w:r>
          </w:p>
        </w:tc>
      </w:tr>
      <w:tr w14:paraId="7D47ECD8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8" w:type="dxa"/>
            <w:vMerge w:val="continue"/>
            <w:tcBorders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C1076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ＭＳ 明朝" w:eastAsia="宋体" w:cs="ＭＳ 明朝"/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3DEDC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消耗与维护费</w:t>
            </w:r>
          </w:p>
        </w:tc>
        <w:tc>
          <w:tcPr>
            <w:tcW w:w="69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4EA4D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若干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4C331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88E9A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117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C9E2E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科研基金</w:t>
            </w:r>
          </w:p>
        </w:tc>
      </w:tr>
      <w:tr w14:paraId="709D17DA">
        <w:tblPrEx>
          <w:tblBorders>
            <w:top w:val="single" w:color="A3A3A3" w:sz="8" w:space="0"/>
            <w:left w:val="single" w:color="A3A3A3" w:sz="8" w:space="0"/>
            <w:bottom w:val="single" w:color="A3A3A3" w:sz="8" w:space="0"/>
            <w:right w:val="single" w:color="A3A3A3" w:sz="8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418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28568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266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3D49A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宋体" w:hAnsi="ＭＳ 明朝" w:eastAsia="宋体" w:cs="ＭＳ 明朝"/>
                <w:b/>
                <w:sz w:val="24"/>
                <w:szCs w:val="24"/>
              </w:rPr>
            </w:pPr>
            <w:r>
              <w:rPr>
                <w:rFonts w:hint="default" w:ascii="宋体" w:hAnsi="ＭＳ 明朝" w:eastAsia="宋体" w:cs="ＭＳ 明朝"/>
                <w:b/>
                <w:sz w:val="24"/>
                <w:szCs w:val="24"/>
              </w:rPr>
              <w:t> </w:t>
            </w:r>
          </w:p>
        </w:tc>
        <w:tc>
          <w:tcPr>
            <w:tcW w:w="695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6EB19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宋体" w:hAnsi="ＭＳ 明朝" w:eastAsia="宋体" w:cs="ＭＳ 明朝"/>
                <w:b/>
                <w:sz w:val="24"/>
                <w:szCs w:val="24"/>
              </w:rPr>
            </w:pPr>
            <w:r>
              <w:rPr>
                <w:rFonts w:hint="default" w:ascii="宋体" w:hAnsi="ＭＳ 明朝" w:eastAsia="宋体" w:cs="ＭＳ 明朝"/>
                <w:b/>
                <w:sz w:val="24"/>
                <w:szCs w:val="24"/>
              </w:rPr>
              <w:t> 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F2A01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default" w:ascii="宋体" w:hAnsi="ＭＳ 明朝" w:eastAsia="宋体" w:cs="ＭＳ 明朝"/>
                <w:b/>
                <w:sz w:val="24"/>
                <w:szCs w:val="24"/>
              </w:rPr>
            </w:pPr>
            <w:r>
              <w:rPr>
                <w:rFonts w:hint="default" w:ascii="宋体" w:hAnsi="ＭＳ 明朝" w:eastAsia="宋体" w:cs="ＭＳ 明朝"/>
                <w:b/>
                <w:sz w:val="24"/>
                <w:szCs w:val="24"/>
              </w:rPr>
              <w:t> </w:t>
            </w:r>
          </w:p>
        </w:tc>
        <w:tc>
          <w:tcPr>
            <w:tcW w:w="1449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91243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181万元</w:t>
            </w:r>
          </w:p>
        </w:tc>
        <w:tc>
          <w:tcPr>
            <w:tcW w:w="1177" w:type="dxa"/>
            <w:tcBorders>
              <w:top w:val="single" w:color="A3A3A3" w:sz="8" w:space="0"/>
              <w:left w:val="single" w:color="A3A3A3" w:sz="8" w:space="0"/>
              <w:bottom w:val="single" w:color="A3A3A3" w:sz="8" w:space="0"/>
              <w:right w:val="single" w:color="A3A3A3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F8ADD">
            <w:pPr>
              <w:pStyle w:val="30"/>
              <w:keepNext/>
              <w:keepLines w:val="0"/>
              <w:widowControl/>
              <w:suppressLineNumbers w:val="0"/>
              <w:snapToGrid w:val="0"/>
              <w:spacing w:before="0" w:beforeAutospacing="0" w:after="200" w:afterAutospacing="0" w:line="240" w:lineRule="auto"/>
              <w:ind w:left="0" w:leftChars="0" w:right="0" w:rightChars="0" w:firstLine="0" w:firstLineChars="0"/>
              <w:jc w:val="center"/>
              <w:rPr>
                <w:rFonts w:ascii="宋体" w:hAnsi="Calibri" w:eastAsia="宋体" w:cs="Calibri"/>
                <w:b/>
                <w:sz w:val="24"/>
                <w:szCs w:val="22"/>
              </w:rPr>
            </w:pPr>
            <w:r>
              <w:rPr>
                <w:rFonts w:hint="default" w:ascii="宋体" w:hAnsi="Calibri" w:eastAsia="宋体" w:cs="Calibri"/>
                <w:b/>
                <w:sz w:val="24"/>
                <w:szCs w:val="22"/>
              </w:rPr>
              <w:t> </w:t>
            </w:r>
          </w:p>
        </w:tc>
      </w:tr>
    </w:tbl>
    <w:p w14:paraId="7A2577E1"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附件二 ：</w:t>
      </w:r>
      <w:r>
        <w:t>巴彦淖尔市医院胃肠外科医工融合创新与成果孵化十年行动规划（2025—2035）</w:t>
      </w:r>
    </w:p>
    <w:p w14:paraId="4C24AFF9">
      <w:pPr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SWAstr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WAstro">
    <w:panose1 w:val="02000400000000000000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751E87">
    <w:pPr>
      <w:pStyle w:val="24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3F85D3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3F85D3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E3214">
    <w:pPr>
      <w:pStyle w:val="25"/>
      <w:jc w:val="center"/>
    </w:pPr>
    <w:r>
      <w:t>巴彦淖尔市医院国家临床重点专科建设项目文件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138E9FDF-988B-47DE-A3EB-733AC803B1AB}"/>
    <w:docVar w:name="KY_MEDREF_VERSION" w:val="3"/>
  </w:docVars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12F7800"/>
    <w:rsid w:val="021A2C80"/>
    <w:rsid w:val="0A4038E0"/>
    <w:rsid w:val="193C0975"/>
    <w:rsid w:val="2DB46201"/>
    <w:rsid w:val="304C6EB1"/>
    <w:rsid w:val="513C3F77"/>
    <w:rsid w:val="6841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5"/>
    <w:uiPriority w:val="99"/>
  </w:style>
  <w:style w:type="character" w:customStyle="1" w:styleId="137">
    <w:name w:val="Footer Char"/>
    <w:basedOn w:val="133"/>
    <w:link w:val="24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19"/>
    <w:qFormat/>
    <w:uiPriority w:val="99"/>
  </w:style>
  <w:style w:type="character" w:customStyle="1" w:styleId="146">
    <w:name w:val="Body Text 2 Char"/>
    <w:basedOn w:val="133"/>
    <w:link w:val="28"/>
    <w:qFormat/>
    <w:uiPriority w:val="99"/>
  </w:style>
  <w:style w:type="character" w:customStyle="1" w:styleId="147">
    <w:name w:val="Body Text 3 Char"/>
    <w:basedOn w:val="133"/>
    <w:link w:val="17"/>
    <w:qFormat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956</Words>
  <Characters>1080</Characters>
  <Lines>0</Lines>
  <Paragraphs>0</Paragraphs>
  <TotalTime>374</TotalTime>
  <ScaleCrop>false</ScaleCrop>
  <LinksUpToDate>false</LinksUpToDate>
  <CharactersWithSpaces>1092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王腾祺</cp:lastModifiedBy>
  <dcterms:modified xsi:type="dcterms:W3CDTF">2025-11-15T15:56:55Z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eyJoZGlkIjoiZTczYWFkOThlMjE5ZWRmZmFmNDdiOTQxNWJkZDk3YTgiLCJ1c2VySWQiOiIxNDgwMTQyMTM0In0=</vt:lpwstr>
  </property>
  <property fmtid="{D5CDD505-2E9C-101B-9397-08002B2CF9AE}" pid="3" name="KSOProductBuildVer">
    <vt:lpwstr>2052-12.1.0.23542</vt:lpwstr>
  </property>
  <property fmtid="{D5CDD505-2E9C-101B-9397-08002B2CF9AE}" pid="4" name="ICV">
    <vt:lpwstr>405CC489A975429DA4E6897507A3C448_13</vt:lpwstr>
  </property>
</Properties>
</file>