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9"/>
      </w:pPr>
    </w:p>
    <w:p w14:paraId="4D679A63">
      <w:pPr>
        <w:pStyle w:val="8"/>
        <w:rPr>
          <w:sz w:val="20"/>
        </w:rPr>
      </w:pPr>
    </w:p>
    <w:p w14:paraId="4A6E3E52">
      <w:pPr>
        <w:pStyle w:val="8"/>
        <w:rPr>
          <w:sz w:val="20"/>
        </w:rPr>
      </w:pPr>
    </w:p>
    <w:p w14:paraId="22969806">
      <w:pPr>
        <w:pStyle w:val="8"/>
        <w:rPr>
          <w:sz w:val="20"/>
        </w:rPr>
      </w:pPr>
    </w:p>
    <w:p w14:paraId="53D04133">
      <w:pPr>
        <w:pStyle w:val="8"/>
      </w:pPr>
    </w:p>
    <w:p w14:paraId="6A15C5CE">
      <w:pPr>
        <w:pStyle w:val="8"/>
        <w:rPr>
          <w:sz w:val="20"/>
        </w:rPr>
      </w:pPr>
    </w:p>
    <w:p w14:paraId="04D5F0EB">
      <w:pPr>
        <w:pStyle w:val="8"/>
        <w:rPr>
          <w:sz w:val="20"/>
        </w:rPr>
      </w:pPr>
    </w:p>
    <w:p w14:paraId="5AC948FD">
      <w:pPr>
        <w:spacing w:before="186" w:line="220" w:lineRule="auto"/>
        <w:ind w:left="187" w:right="243"/>
        <w:jc w:val="center"/>
        <w:rPr>
          <w:rFonts w:ascii="黑体" w:hAnsi="黑体" w:eastAsia="黑体" w:cs="仿宋_GB2312"/>
          <w:sz w:val="32"/>
          <w:szCs w:val="32"/>
          <w:lang w:eastAsia="zh-CN"/>
        </w:rPr>
      </w:pPr>
      <w:r>
        <w:rPr>
          <w:rFonts w:hint="eastAsia" w:ascii="黑体" w:hAnsi="黑体" w:eastAsia="黑体" w:cs="仿宋_GB2312"/>
          <w:b/>
          <w:bCs/>
          <w:sz w:val="52"/>
          <w:szCs w:val="52"/>
          <w:lang w:val="en-US" w:eastAsia="zh-CN" w:bidi="ar-SA"/>
        </w:rPr>
        <w:t>巴彦淖尔市医院智慧短信产品采购项目询价通知书</w:t>
      </w:r>
    </w:p>
    <w:p w14:paraId="27E9CA86">
      <w:pPr>
        <w:pStyle w:val="8"/>
        <w:spacing w:line="600" w:lineRule="exact"/>
        <w:rPr>
          <w:rFonts w:ascii="黑体" w:hAnsi="黑体" w:eastAsia="黑体"/>
          <w:b/>
          <w:sz w:val="30"/>
          <w:lang w:eastAsia="zh-CN"/>
        </w:rPr>
      </w:pPr>
    </w:p>
    <w:p w14:paraId="57DA9809">
      <w:pPr>
        <w:pStyle w:val="8"/>
        <w:spacing w:line="600" w:lineRule="exact"/>
        <w:rPr>
          <w:rStyle w:val="16"/>
          <w:lang w:eastAsia="zh-CN"/>
        </w:rPr>
      </w:pPr>
    </w:p>
    <w:p w14:paraId="2C236465">
      <w:pPr>
        <w:pStyle w:val="8"/>
        <w:spacing w:line="600" w:lineRule="exact"/>
        <w:rPr>
          <w:b/>
          <w:sz w:val="30"/>
          <w:lang w:eastAsia="zh-CN"/>
        </w:rPr>
      </w:pPr>
    </w:p>
    <w:p w14:paraId="3A62C638">
      <w:pPr>
        <w:pStyle w:val="8"/>
        <w:spacing w:line="600" w:lineRule="exact"/>
        <w:rPr>
          <w:b/>
          <w:sz w:val="30"/>
          <w:lang w:eastAsia="zh-CN"/>
        </w:rPr>
      </w:pPr>
    </w:p>
    <w:p w14:paraId="1BB8B284">
      <w:pPr>
        <w:pStyle w:val="8"/>
        <w:spacing w:before="6" w:line="600" w:lineRule="exact"/>
        <w:rPr>
          <w:rFonts w:ascii="仿宋_GB2312" w:hAnsi="仿宋_GB2312" w:eastAsia="仿宋_GB2312" w:cs="仿宋_GB2312"/>
          <w:b/>
          <w:sz w:val="32"/>
          <w:szCs w:val="32"/>
          <w:lang w:eastAsia="zh-CN"/>
        </w:rPr>
      </w:pPr>
    </w:p>
    <w:p w14:paraId="7CB93829">
      <w:pPr>
        <w:pStyle w:val="2"/>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hint="default" w:ascii="仿宋_GB2312" w:hAnsi="仿宋_GB2312" w:eastAsia="仿宋_GB2312" w:cs="仿宋_GB2312"/>
          <w:b/>
          <w:color w:val="FF0000"/>
          <w:sz w:val="32"/>
          <w:szCs w:val="32"/>
          <w:lang w:val="en-US" w:eastAsia="zh-CN"/>
        </w:rPr>
      </w:pPr>
      <w:r>
        <w:rPr>
          <w:rFonts w:hint="eastAsia" w:ascii="仿宋_GB2312" w:hAnsi="仿宋_GB2312" w:eastAsia="仿宋_GB2312" w:cs="仿宋_GB2312"/>
          <w:b/>
          <w:color w:val="FF0000"/>
          <w:w w:val="110"/>
          <w:sz w:val="32"/>
          <w:szCs w:val="32"/>
          <w:lang w:eastAsia="zh-CN"/>
        </w:rPr>
        <w:t>项目编号：BSYY-2026-001</w:t>
      </w:r>
      <w:r>
        <w:rPr>
          <w:rFonts w:hint="eastAsia" w:ascii="仿宋_GB2312" w:hAnsi="仿宋_GB2312" w:eastAsia="仿宋_GB2312" w:cs="仿宋_GB2312"/>
          <w:b/>
          <w:color w:val="FF0000"/>
          <w:w w:val="110"/>
          <w:sz w:val="32"/>
          <w:szCs w:val="32"/>
          <w:lang w:val="en-US" w:eastAsia="zh-CN"/>
        </w:rPr>
        <w:t>8-1</w:t>
      </w:r>
    </w:p>
    <w:p w14:paraId="31056979">
      <w:pPr>
        <w:pStyle w:val="8"/>
        <w:rPr>
          <w:rFonts w:ascii="仿宋_GB2312" w:hAnsi="仿宋_GB2312" w:eastAsia="仿宋_GB2312" w:cs="仿宋_GB2312"/>
          <w:b/>
          <w:sz w:val="32"/>
          <w:szCs w:val="32"/>
          <w:lang w:eastAsia="zh-CN"/>
        </w:rPr>
      </w:pPr>
    </w:p>
    <w:p w14:paraId="5E2EE082">
      <w:pPr>
        <w:pStyle w:val="8"/>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w:t>
      </w:r>
      <w:r>
        <w:rPr>
          <w:rFonts w:hint="eastAsia" w:ascii="仿宋_GB2312" w:hAnsi="仿宋_GB2312" w:eastAsia="仿宋_GB2312" w:cs="仿宋_GB2312"/>
          <w:b/>
          <w:color w:val="FF0000"/>
          <w:w w:val="115"/>
          <w:sz w:val="32"/>
          <w:szCs w:val="32"/>
          <w:lang w:val="en-US" w:eastAsia="zh-CN"/>
        </w:rPr>
        <w:t>7</w:t>
      </w:r>
      <w:r>
        <w:rPr>
          <w:rFonts w:hint="eastAsia" w:ascii="仿宋_GB2312" w:hAnsi="仿宋_GB2312" w:eastAsia="仿宋_GB2312" w:cs="仿宋_GB2312"/>
          <w:b/>
          <w:color w:val="FF0000"/>
          <w:w w:val="115"/>
          <w:sz w:val="32"/>
          <w:szCs w:val="32"/>
          <w:lang w:eastAsia="zh-CN"/>
        </w:rPr>
        <w:t>月</w:t>
      </w:r>
      <w:r>
        <w:rPr>
          <w:rFonts w:hint="eastAsia" w:ascii="仿宋_GB2312" w:hAnsi="仿宋_GB2312" w:eastAsia="仿宋_GB2312" w:cs="仿宋_GB2312"/>
          <w:b/>
          <w:color w:val="FF0000"/>
          <w:w w:val="115"/>
          <w:sz w:val="32"/>
          <w:szCs w:val="32"/>
          <w:lang w:val="en-US" w:eastAsia="zh-CN"/>
        </w:rPr>
        <w:t>15</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8"/>
        <w:rPr>
          <w:b/>
          <w:sz w:val="20"/>
          <w:lang w:eastAsia="zh-CN"/>
        </w:rPr>
      </w:pPr>
    </w:p>
    <w:p w14:paraId="4D80C923">
      <w:pPr>
        <w:pStyle w:val="8"/>
        <w:rPr>
          <w:b/>
          <w:sz w:val="20"/>
          <w:lang w:eastAsia="zh-CN"/>
        </w:rPr>
      </w:pPr>
    </w:p>
    <w:p w14:paraId="03839A4F">
      <w:pPr>
        <w:pStyle w:val="8"/>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询价邀请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询价邀请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巴彦淖尔市医院采用询价方式组织采购智慧短信产品采购项目。欢迎符合资格条件的供应商前来参加。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8"/>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项目名称：巴彦淖尔市医院智慧短信产品采购项目</w:t>
      </w:r>
    </w:p>
    <w:p w14:paraId="0CB496EA">
      <w:pPr>
        <w:pStyle w:val="8"/>
        <w:ind w:firstLine="380"/>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eastAsia="zh-CN"/>
        </w:rPr>
        <w:t>项目编号：BSYY-2026-00</w:t>
      </w:r>
      <w:r>
        <w:rPr>
          <w:rFonts w:hint="eastAsia" w:ascii="仿宋_GB2312" w:hAnsi="仿宋_GB2312" w:eastAsia="仿宋_GB2312" w:cs="仿宋_GB2312"/>
          <w:color w:val="FF0000"/>
          <w:sz w:val="24"/>
          <w:szCs w:val="24"/>
          <w:lang w:val="en-US" w:eastAsia="zh-CN"/>
        </w:rPr>
        <w:t>18-1</w:t>
      </w:r>
    </w:p>
    <w:tbl>
      <w:tblPr>
        <w:tblStyle w:val="1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1"/>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1C36F67D">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74839424">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4E897335">
            <w:pPr>
              <w:pStyle w:val="11"/>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Align w:val="center"/>
          </w:tcPr>
          <w:p w14:paraId="78861531">
            <w:pPr>
              <w:pStyle w:val="11"/>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1505CF82">
            <w:pPr>
              <w:keepNext w:val="0"/>
              <w:keepLines w:val="0"/>
              <w:widowControl/>
              <w:suppressLineNumbers w:val="0"/>
              <w:jc w:val="left"/>
            </w:pPr>
            <w:r>
              <w:rPr>
                <w:rFonts w:ascii="仿宋_GB2312" w:hAnsi="宋体" w:eastAsia="仿宋_GB2312" w:cs="仿宋_GB2312"/>
                <w:color w:val="000000"/>
                <w:kern w:val="0"/>
                <w:sz w:val="20"/>
                <w:szCs w:val="20"/>
                <w:lang w:val="en-US" w:eastAsia="zh-CN" w:bidi="ar"/>
              </w:rPr>
              <w:t>C17010100</w:t>
            </w:r>
          </w:p>
          <w:p w14:paraId="3E9238D0">
            <w:pPr>
              <w:keepNext w:val="0"/>
              <w:keepLines w:val="0"/>
              <w:widowControl/>
              <w:suppressLineNumbers w:val="0"/>
              <w:jc w:val="left"/>
              <w:rPr>
                <w:rFonts w:ascii="仿宋_GB2312" w:hAnsi="仿宋_GB2312" w:eastAsia="仿宋_GB2312" w:cs="仿宋_GB2312"/>
                <w:szCs w:val="24"/>
              </w:rPr>
            </w:pPr>
            <w:r>
              <w:rPr>
                <w:rFonts w:ascii="仿宋_GB2312" w:hAnsi="宋体" w:eastAsia="仿宋_GB2312" w:cs="仿宋_GB2312"/>
                <w:color w:val="000000"/>
                <w:kern w:val="0"/>
                <w:sz w:val="20"/>
                <w:szCs w:val="20"/>
                <w:lang w:val="en-US" w:eastAsia="zh-CN" w:bidi="ar"/>
              </w:rPr>
              <w:t>基础电信服务</w:t>
            </w:r>
          </w:p>
        </w:tc>
        <w:tc>
          <w:tcPr>
            <w:tcW w:w="1282" w:type="dxa"/>
            <w:shd w:val="clear" w:color="auto" w:fill="auto"/>
            <w:vAlign w:val="center"/>
          </w:tcPr>
          <w:p w14:paraId="4AD0234F">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r>
              <w:rPr>
                <w:rFonts w:hint="eastAsia" w:ascii="仿宋_GB2312" w:hAnsi="仿宋_GB2312" w:eastAsia="仿宋_GB2312" w:cs="仿宋_GB2312"/>
              </w:rPr>
              <w:t>套</w:t>
            </w:r>
          </w:p>
        </w:tc>
        <w:tc>
          <w:tcPr>
            <w:tcW w:w="1623" w:type="dxa"/>
            <w:shd w:val="clear" w:color="auto" w:fill="auto"/>
            <w:vAlign w:val="center"/>
          </w:tcPr>
          <w:p w14:paraId="35FF2B17">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shd w:val="clear" w:color="auto" w:fill="auto"/>
            <w:vAlign w:val="center"/>
          </w:tcPr>
          <w:p w14:paraId="0048A4A0">
            <w:pPr>
              <w:pStyle w:val="11"/>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color w:val="auto"/>
                <w:sz w:val="22"/>
                <w:szCs w:val="24"/>
                <w:lang w:val="en-US" w:eastAsia="zh-CN"/>
              </w:rPr>
              <w:t>54400</w:t>
            </w:r>
          </w:p>
        </w:tc>
        <w:tc>
          <w:tcPr>
            <w:tcW w:w="776" w:type="dxa"/>
            <w:shd w:val="clear" w:color="auto" w:fill="auto"/>
            <w:vAlign w:val="center"/>
          </w:tcPr>
          <w:p w14:paraId="7713051F">
            <w:pPr>
              <w:pStyle w:val="11"/>
              <w:widowControl/>
              <w:shd w:val="clear" w:color="auto" w:fill="FFFFFF"/>
              <w:spacing w:beforeAutospacing="0" w:afterAutospacing="0" w:line="300" w:lineRule="exact"/>
              <w:jc w:val="center"/>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1"/>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（4）有依法缴纳税收和社会保障资金的良好记录：1.提供递交投标文件截止之日前一年内（至少三个月）的良好缴纳税收的相关凭据。（以税务机关 提供的纳税凭据或银行入账单为准）；2.提供递交响应文件截止之日前一年内（至少三个月）缴纳社会保险的凭证。（以专用收据或社会保险缴纳清单为准）。依法免税或不需要缴纳社会保障资金的 投标人，应提供相应文件证明其依法免税或不需要缴纳社会保障资金。</w:t>
      </w:r>
    </w:p>
    <w:p w14:paraId="7A983ED9">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2AC97DA4">
      <w:pPr>
        <w:pStyle w:val="11"/>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三、询价通知书的获取</w:t>
      </w:r>
    </w:p>
    <w:p w14:paraId="182A5F21">
      <w:pPr>
        <w:pStyle w:val="11"/>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w:t>
      </w:r>
      <w:r>
        <w:rPr>
          <w:rFonts w:hint="eastAsia" w:ascii="仿宋_GB2312" w:hAnsi="仿宋_GB2312" w:eastAsia="仿宋_GB2312" w:cs="仿宋_GB2312"/>
          <w:color w:val="FF0000"/>
          <w:w w:val="95"/>
          <w:szCs w:val="24"/>
          <w:lang w:val="en-US" w:eastAsia="zh-CN"/>
        </w:rPr>
        <w:t>7</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15</w:t>
      </w:r>
      <w:r>
        <w:rPr>
          <w:rFonts w:hint="eastAsia" w:ascii="仿宋_GB2312" w:hAnsi="仿宋_GB2312" w:eastAsia="仿宋_GB2312" w:cs="仿宋_GB2312"/>
          <w:color w:val="FF0000"/>
          <w:w w:val="95"/>
          <w:szCs w:val="24"/>
        </w:rPr>
        <w:t>日-2026年</w:t>
      </w:r>
      <w:r>
        <w:rPr>
          <w:rFonts w:hint="eastAsia" w:ascii="仿宋_GB2312" w:hAnsi="仿宋_GB2312" w:eastAsia="仿宋_GB2312" w:cs="仿宋_GB2312"/>
          <w:color w:val="FF0000"/>
          <w:w w:val="95"/>
          <w:szCs w:val="24"/>
          <w:lang w:val="en-US" w:eastAsia="zh-CN"/>
        </w:rPr>
        <w:t>7</w:t>
      </w:r>
      <w:r>
        <w:rPr>
          <w:rFonts w:hint="eastAsia" w:ascii="仿宋_GB2312" w:hAnsi="仿宋_GB2312" w:eastAsia="仿宋_GB2312" w:cs="仿宋_GB2312"/>
          <w:color w:val="FF0000"/>
          <w:w w:val="95"/>
          <w:szCs w:val="24"/>
        </w:rPr>
        <w:t>月</w:t>
      </w:r>
      <w:r>
        <w:rPr>
          <w:rFonts w:hint="eastAsia" w:ascii="仿宋_GB2312" w:hAnsi="仿宋_GB2312" w:eastAsia="仿宋_GB2312" w:cs="仿宋_GB2312"/>
          <w:color w:val="FF0000"/>
          <w:w w:val="95"/>
          <w:szCs w:val="24"/>
          <w:lang w:val="en-US" w:eastAsia="zh-CN"/>
        </w:rPr>
        <w:t>20</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1"/>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1"/>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w:t>
      </w:r>
      <w:r>
        <w:rPr>
          <w:rFonts w:hint="eastAsia" w:ascii="仿宋_GB2312" w:hAnsi="仿宋_GB2312" w:eastAsia="仿宋_GB2312" w:cs="仿宋_GB2312"/>
          <w:color w:val="FF0000"/>
          <w:sz w:val="24"/>
          <w:szCs w:val="24"/>
          <w:lang w:val="en-US" w:eastAsia="zh-CN"/>
        </w:rPr>
        <w:t>7</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20</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8"/>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w:t>
      </w:r>
      <w:r>
        <w:rPr>
          <w:rFonts w:hint="eastAsia" w:ascii="仿宋_GB2312" w:hAnsi="仿宋_GB2312" w:eastAsia="仿宋_GB2312" w:cs="仿宋_GB2312"/>
          <w:color w:val="FF0000"/>
          <w:sz w:val="24"/>
          <w:szCs w:val="24"/>
          <w:lang w:val="en-US" w:eastAsia="zh-CN"/>
        </w:rPr>
        <w:t>7</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27</w:t>
      </w:r>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8"/>
        <w:rPr>
          <w:rFonts w:ascii="仿宋_GB2312" w:hAnsi="仿宋_GB2312" w:eastAsia="仿宋_GB2312" w:cs="仿宋_GB2312"/>
          <w:sz w:val="24"/>
          <w:szCs w:val="24"/>
          <w:lang w:eastAsia="zh-CN"/>
        </w:rPr>
      </w:pPr>
    </w:p>
    <w:p w14:paraId="4F9E6C9F">
      <w:pPr>
        <w:pStyle w:val="3"/>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2"/>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2"/>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9"/>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9"/>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获取询价通知书时间</w:t>
            </w:r>
          </w:p>
        </w:tc>
        <w:tc>
          <w:tcPr>
            <w:tcW w:w="5823" w:type="dxa"/>
            <w:vAlign w:val="center"/>
          </w:tcPr>
          <w:p w14:paraId="7738E37B">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9"/>
              <w:jc w:val="both"/>
              <w:rPr>
                <w:rFonts w:ascii="仿宋_GB2312" w:hAnsi="仿宋_GB2312" w:eastAsia="仿宋_GB2312" w:cs="仿宋_GB2312"/>
                <w:b/>
                <w:sz w:val="24"/>
                <w:szCs w:val="24"/>
              </w:rPr>
            </w:pPr>
          </w:p>
          <w:p w14:paraId="1540E93F">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9"/>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8"/>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本询价通知书参照《中华人民共和国政府采购法》《中华人民共和国政府采购法实施条例》和《政府采购非招标采购方式管理办法》（财政部令第74号）及国家和自治区有关法律、法规、规章制度编制。</w:t>
      </w:r>
    </w:p>
    <w:p w14:paraId="5B7FE31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供应商应仔细阅读本项目信息公告及询价通知书的所有内容（包括澄清或者修改），按照询价通知书要求以及格式编制响应文件，并保证其真实性，否则一切后果自负。</w:t>
      </w:r>
    </w:p>
    <w:p w14:paraId="2BCB4996">
      <w:pPr>
        <w:pStyle w:val="2"/>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本询价通知书仅适用于本次询价公告中所涉及的项目和内容。</w:t>
      </w:r>
    </w:p>
    <w:p w14:paraId="756493F8">
      <w:pPr>
        <w:pStyle w:val="2"/>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8"/>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是指依法进行政府采购的国家机关、事业单位、团体组织。本询价通知书的采购人特指巴彦淖尔市医院</w:t>
      </w:r>
      <w:r>
        <w:rPr>
          <w:rFonts w:hint="eastAsia" w:ascii="仿宋_GB2312" w:hAnsi="仿宋_GB2312" w:eastAsia="仿宋_GB2312" w:cs="仿宋_GB2312"/>
          <w:sz w:val="24"/>
          <w:szCs w:val="24"/>
          <w:lang w:eastAsia="zh-CN"/>
        </w:rPr>
        <w:t>。</w:t>
      </w:r>
    </w:p>
    <w:p w14:paraId="25D02F4E">
      <w:pPr>
        <w:pStyle w:val="18"/>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8"/>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询价小组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8"/>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2"/>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1.符合本询价通知书规定的资格要求，并按照要求提供相关证明材料。</w:t>
      </w:r>
    </w:p>
    <w:p w14:paraId="04C22D1F">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8"/>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2"/>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2"/>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2"/>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三、询价通知书的澄清或者修改</w:t>
      </w:r>
    </w:p>
    <w:p w14:paraId="470DE1F7">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询价小组可以对已发出的询价通知书进行必要的澄清或者修改，澄清或者修改的内容作为询价通知书的组成部分。澄清或者修改的内容可能影响响应文件编制的，采购人或者询价小组应当在提交响应文件截止之日3个工作日前，在“巴彦淖尔市医院官网”上发布更正公告进行通知，不足3个工作日  的，应当顺延提交响应文件截止之日。更正公告的内容为询价通知书的组成部分，供应商应自行上网查询，采购人不承担供应商未及时关注相关信息的责任。</w:t>
      </w:r>
    </w:p>
    <w:p w14:paraId="2AD0E959">
      <w:pPr>
        <w:pStyle w:val="2"/>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2"/>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8"/>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响应文件应按照询价通知书第七章“响应文件格式与要求”进行编写，可以增加附页，并作为响应文件的组成部分。</w:t>
      </w:r>
    </w:p>
    <w:p w14:paraId="56A86BCF">
      <w:pPr>
        <w:pStyle w:val="2"/>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8"/>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1.供应商应按照第三章“采购内容与技术要求”进行报价。报价中不得包含询价通知书要求以外的内容，否则，在评审时不予核减。</w:t>
      </w:r>
    </w:p>
    <w:p w14:paraId="457A3431">
      <w:pPr>
        <w:pStyle w:val="18"/>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8"/>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8"/>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4.参加询价采购活动的供应商，应当按照询价通知书的规定一次报出不得更改的价格。</w:t>
      </w:r>
    </w:p>
    <w:p w14:paraId="41FA5DBB">
      <w:pPr>
        <w:pStyle w:val="2"/>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8"/>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2"/>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8"/>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2"/>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2"/>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8"/>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（3）工作人员对供应商对已提交的响应文件进行拆封，由采购人工作人员宣布供应商名称和询价通知书规定需要</w:t>
      </w:r>
      <w:r>
        <w:rPr>
          <w:rFonts w:hint="eastAsia" w:ascii="仿宋_GB2312" w:hAnsi="仿宋_GB2312" w:eastAsia="仿宋_GB2312" w:cs="仿宋_GB2312"/>
          <w:sz w:val="24"/>
          <w:szCs w:val="24"/>
          <w:lang w:eastAsia="zh-CN"/>
        </w:rPr>
        <w:t>宣布的其他内容；</w:t>
      </w:r>
    </w:p>
    <w:p w14:paraId="016E24F1">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2"/>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2"/>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2"/>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2"/>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8"/>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8"/>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询价邀请）。</w:t>
      </w:r>
    </w:p>
    <w:p w14:paraId="0AB905B2">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8"/>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8"/>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8"/>
        <w:numPr>
          <w:ilvl w:val="1"/>
          <w:numId w:val="2"/>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3"/>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8"/>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项目包括1.巴彦淖尔市医院智慧短信产品采购项目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8"/>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合同包1（智慧短信产品采购项目）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9"/>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标的提供的时间</w:t>
            </w:r>
          </w:p>
        </w:tc>
        <w:tc>
          <w:tcPr>
            <w:tcW w:w="6551" w:type="dxa"/>
            <w:vAlign w:val="center"/>
          </w:tcPr>
          <w:p w14:paraId="417CF020">
            <w:pPr>
              <w:pStyle w:val="19"/>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自合同签订之日起用完为止，具体以双方签订合同为准。</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9"/>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0D5A6E09">
            <w:pPr>
              <w:pStyle w:val="19"/>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0个工作日内，乙方向甲方开具相应金额的发票</w:t>
            </w:r>
            <w:r>
              <w:rPr>
                <w:rFonts w:hint="eastAsia" w:ascii="仿宋_GB2312" w:hAnsi="仿宋_GB2312" w:eastAsia="仿宋_GB2312" w:cs="仿宋_GB2312"/>
                <w:sz w:val="24"/>
                <w:szCs w:val="24"/>
                <w:lang w:val="en-US" w:eastAsia="zh-CN"/>
              </w:rPr>
              <w:t>后，</w:t>
            </w:r>
            <w:r>
              <w:rPr>
                <w:rFonts w:hint="eastAsia" w:ascii="仿宋_GB2312" w:hAnsi="仿宋_GB2312" w:eastAsia="仿宋_GB2312" w:cs="仿宋_GB2312"/>
                <w:sz w:val="24"/>
                <w:szCs w:val="24"/>
                <w:lang w:eastAsia="zh-CN"/>
              </w:rPr>
              <w:t>一次性支付合同款项，以电汇方式结算。</w:t>
            </w: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9"/>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1期；按照招投标响应文件和合同约定内容。</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9"/>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29B7E379">
            <w:pPr>
              <w:pStyle w:val="19"/>
              <w:spacing w:line="300" w:lineRule="exact"/>
              <w:rPr>
                <w:rFonts w:ascii="仿宋_GB2312" w:hAnsi="仿宋_GB2312" w:eastAsia="仿宋_GB2312" w:cs="仿宋_GB2312"/>
                <w:sz w:val="24"/>
                <w:szCs w:val="24"/>
                <w:lang w:eastAsia="zh-CN"/>
              </w:rPr>
            </w:pP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hint="eastAsia" w:ascii="仿宋_GB2312" w:hAnsi="仿宋_GB2312" w:eastAsia="仿宋_GB2312" w:cs="仿宋_GB2312"/>
          <w:b w:val="0"/>
          <w:bCs w:val="0"/>
          <w:sz w:val="24"/>
          <w:szCs w:val="24"/>
          <w:lang w:val="en-US" w:eastAsia="zh-CN" w:bidi="ar-SA"/>
        </w:rPr>
      </w:pPr>
      <w:r>
        <w:rPr>
          <w:rFonts w:hint="eastAsia" w:ascii="楷体_GB2312" w:hAnsi="楷体_GB2312" w:eastAsia="楷体_GB2312" w:cs="楷体_GB2312"/>
          <w:spacing w:val="10"/>
          <w:sz w:val="24"/>
          <w:szCs w:val="24"/>
        </w:rPr>
        <w:t>（二）技术要求</w:t>
      </w:r>
    </w:p>
    <w:p w14:paraId="10D43620">
      <w:pPr>
        <w:pStyle w:val="6"/>
        <w:ind w:firstLine="480"/>
        <w:rPr>
          <w:rFonts w:hint="eastAsia" w:ascii="仿宋_GB2312" w:hAnsi="仿宋_GB2312" w:eastAsia="仿宋_GB2312" w:cs="仿宋_GB2312"/>
          <w:b w:val="0"/>
          <w:bCs w:val="0"/>
          <w:sz w:val="24"/>
          <w:szCs w:val="24"/>
          <w:lang w:val="en-US" w:eastAsia="zh-CN" w:bidi="ar-SA"/>
        </w:rPr>
      </w:pPr>
    </w:p>
    <w:p w14:paraId="677F098F">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一、项目基本信息</w:t>
      </w:r>
    </w:p>
    <w:p w14:paraId="6C1A97F5">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1.服务内容：门诊全流程智慧短信发送、平台服务、系统接口对接、技术支持与安全保障。</w:t>
      </w:r>
    </w:p>
    <w:p w14:paraId="1C32381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2.数量：160万条</w:t>
      </w:r>
    </w:p>
    <w:p w14:paraId="79C73CB9">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二、项目建设目标</w:t>
      </w:r>
    </w:p>
    <w:p w14:paraId="6203C1B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1.实现门诊患者预约挂号、检查、检验、医生停诊全流程智能化短信提醒。</w:t>
      </w:r>
    </w:p>
    <w:p w14:paraId="6810FEC6">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2.实现与医院HIS、统一预约平台、掌医小程序、胃肠外科网站系统无缝对接。</w:t>
      </w:r>
    </w:p>
    <w:p w14:paraId="30C22167">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3.保障患者信息安全，符合医疗卫生行业网络安全与个人信息保护相关法规要求。</w:t>
      </w:r>
    </w:p>
    <w:p w14:paraId="562D2AED">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4.建立稳定、高效、可追溯、可监管的短信服务体系。</w:t>
      </w:r>
    </w:p>
    <w:p w14:paraId="00AD475C">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三、供应商资格要求</w:t>
      </w:r>
    </w:p>
    <w:p w14:paraId="1A2A21BD">
      <w:pPr>
        <w:widowControl w:val="0"/>
        <w:spacing w:after="120" w:line="360" w:lineRule="auto"/>
        <w:ind w:left="0" w:leftChars="0" w:firstLine="480" w:firstLineChars="200"/>
        <w:jc w:val="both"/>
        <w:rPr>
          <w:rFonts w:hint="eastAsia"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sz w:val="24"/>
          <w:szCs w:val="24"/>
          <w:lang w:val="en-US" w:eastAsia="zh-CN" w:bidi="ar-SA"/>
        </w:rPr>
        <w:t>1.</w:t>
      </w:r>
      <w:r>
        <w:rPr>
          <w:rFonts w:hint="eastAsia" w:ascii="仿宋_GB2312" w:hAnsi="宋体" w:eastAsia="仿宋_GB2312"/>
          <w:color w:val="auto"/>
          <w:sz w:val="24"/>
          <w:szCs w:val="32"/>
        </w:rPr>
        <w:t>★</w:t>
      </w:r>
      <w:r>
        <w:rPr>
          <w:rFonts w:hint="eastAsia" w:ascii="仿宋_GB2312" w:hAnsi="仿宋_GB2312" w:eastAsia="仿宋_GB2312" w:cs="仿宋_GB2312"/>
          <w:b w:val="0"/>
          <w:bCs w:val="0"/>
          <w:color w:val="auto"/>
          <w:sz w:val="24"/>
          <w:szCs w:val="24"/>
          <w:highlight w:val="none"/>
          <w:lang w:val="en-US" w:eastAsia="zh-CN" w:bidi="ar-SA"/>
        </w:rPr>
        <w:t>具有独立承担民事责任的能力，营业执照经营范围包含通信服务或信息技术服务相关内容。</w:t>
      </w:r>
    </w:p>
    <w:p w14:paraId="4CD760AB">
      <w:pPr>
        <w:widowControl w:val="0"/>
        <w:spacing w:after="120" w:line="360" w:lineRule="auto"/>
        <w:ind w:left="0" w:leftChars="0" w:firstLine="480" w:firstLineChars="200"/>
        <w:jc w:val="both"/>
        <w:rPr>
          <w:rFonts w:hint="eastAsia"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2.</w:t>
      </w:r>
      <w:r>
        <w:rPr>
          <w:rFonts w:hint="eastAsia" w:ascii="仿宋_GB2312" w:hAnsi="宋体" w:eastAsia="仿宋_GB2312"/>
          <w:color w:val="auto"/>
          <w:sz w:val="24"/>
          <w:szCs w:val="32"/>
          <w:highlight w:val="none"/>
        </w:rPr>
        <w:t>★</w:t>
      </w:r>
      <w:r>
        <w:rPr>
          <w:rFonts w:hint="eastAsia" w:ascii="仿宋_GB2312" w:hAnsi="仿宋_GB2312" w:eastAsia="仿宋_GB2312" w:cs="仿宋_GB2312"/>
          <w:b w:val="0"/>
          <w:bCs w:val="0"/>
          <w:color w:val="auto"/>
          <w:sz w:val="24"/>
          <w:szCs w:val="24"/>
          <w:highlight w:val="none"/>
          <w:lang w:val="en-US" w:eastAsia="zh-CN" w:bidi="ar-SA"/>
        </w:rPr>
        <w:t>具备工信部工信部颁发的《基础电信业务经营许可证》 。</w:t>
      </w:r>
    </w:p>
    <w:p w14:paraId="48A893D3">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3.严格遵守《网络安全法》《个人信息保护法》《医疗卫生机构网络安全管理办法》等法律法规，无违法违规发送、数据泄露等不良记录。</w:t>
      </w:r>
      <w:bookmarkStart w:id="2" w:name="_GoBack"/>
      <w:bookmarkEnd w:id="2"/>
    </w:p>
    <w:p w14:paraId="1F22252D">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四、服务内容与功能需求</w:t>
      </w:r>
    </w:p>
    <w:p w14:paraId="60FAE3DB">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（一）</w:t>
      </w:r>
      <w:r>
        <w:rPr>
          <w:rFonts w:hint="eastAsia" w:ascii="仿宋_GB2312" w:hAnsi="宋体" w:eastAsia="仿宋_GB2312"/>
          <w:sz w:val="24"/>
          <w:szCs w:val="32"/>
        </w:rPr>
        <w:t>★</w:t>
      </w:r>
      <w:r>
        <w:rPr>
          <w:rFonts w:hint="eastAsia" w:ascii="仿宋_GB2312" w:hAnsi="仿宋_GB2312" w:eastAsia="仿宋_GB2312" w:cs="仿宋_GB2312"/>
          <w:b/>
          <w:bCs/>
          <w:sz w:val="24"/>
          <w:szCs w:val="24"/>
          <w:lang w:val="en-US" w:eastAsia="zh-CN" w:bidi="ar-SA"/>
        </w:rPr>
        <w:t>基础短信通道服务</w:t>
      </w:r>
    </w:p>
    <w:p w14:paraId="5B615396">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1.支持中国移动、联通、电信三网全覆盖，支持携号转网号码正常接收。</w:t>
      </w:r>
    </w:p>
    <w:p w14:paraId="5F5966D2">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2.提供固定正规开头通道，使用医院全称作为短信签名，不得随意变更。</w:t>
      </w:r>
    </w:p>
    <w:p w14:paraId="2042DEE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3.支持短信上行回复功能，患者可回复短信至平台，医院可查看与处理。</w:t>
      </w:r>
    </w:p>
    <w:p w14:paraId="4D71B6D6">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（二）门诊全流程业务场景支持</w:t>
      </w:r>
    </w:p>
    <w:p w14:paraId="1A7001B2">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必须支持以下门诊场景短信自动发送： </w:t>
      </w:r>
    </w:p>
    <w:p w14:paraId="23B17E8A">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1.预约挂号通知：挂号成功、取消预约、医生停诊等。</w:t>
      </w:r>
    </w:p>
    <w:p w14:paraId="686DDFC5">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2.预约检查检验通知：检查预约成功、检查须知、报告完成提醒。</w:t>
      </w:r>
    </w:p>
    <w:p w14:paraId="674A5AA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3.系统安全类：登录验证码、账号异常提醒、系统公告。</w:t>
      </w:r>
    </w:p>
    <w:p w14:paraId="19B0EC3A">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（三）</w:t>
      </w:r>
      <w:r>
        <w:rPr>
          <w:rFonts w:hint="eastAsia" w:ascii="仿宋_GB2312" w:hAnsi="宋体" w:eastAsia="仿宋_GB2312"/>
          <w:sz w:val="24"/>
          <w:szCs w:val="32"/>
          <w:highlight w:val="none"/>
        </w:rPr>
        <w:t>★</w:t>
      </w:r>
      <w:r>
        <w:rPr>
          <w:rFonts w:hint="eastAsia" w:ascii="仿宋_GB2312" w:hAnsi="仿宋_GB2312" w:eastAsia="仿宋_GB2312" w:cs="仿宋_GB2312"/>
          <w:b/>
          <w:bCs/>
          <w:sz w:val="24"/>
          <w:szCs w:val="24"/>
          <w:lang w:val="en-US" w:eastAsia="zh-CN" w:bidi="ar-SA"/>
        </w:rPr>
        <w:t>智慧短信平台功能</w:t>
      </w:r>
    </w:p>
    <w:p w14:paraId="5EF11CD3">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1.支持变量模板，可自动填充姓名、科室、医生、时间、地点、单号等内容。</w:t>
      </w:r>
    </w:p>
    <w:p w14:paraId="35D8E9E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2.支持批量发送、定时发送、周期发送、Excel导入发送。</w:t>
      </w:r>
    </w:p>
    <w:p w14:paraId="2DCFA2CC">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3.支持号码去重、黑名单管理、无效号码过滤。</w:t>
      </w:r>
    </w:p>
    <w:p w14:paraId="7640E6EB">
      <w:pPr>
        <w:widowControl w:val="0"/>
        <w:spacing w:after="120" w:line="360" w:lineRule="auto"/>
        <w:ind w:left="0" w:leftChars="0" w:firstLine="480" w:firstLineChars="200"/>
        <w:jc w:val="both"/>
        <w:rPr>
          <w:rFonts w:hint="eastAsia"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4.具备调查问卷功能，支持收集客户意见与建议。</w:t>
      </w:r>
    </w:p>
    <w:p w14:paraId="19BB1C50">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5.</w:t>
      </w:r>
      <w:r>
        <w:rPr>
          <w:rFonts w:hint="default" w:ascii="仿宋_GB2312" w:hAnsi="仿宋_GB2312" w:eastAsia="仿宋_GB2312" w:cs="仿宋_GB2312"/>
          <w:b w:val="0"/>
          <w:bCs w:val="0"/>
          <w:color w:val="auto"/>
          <w:sz w:val="24"/>
          <w:szCs w:val="24"/>
          <w:lang w:val="en-US" w:eastAsia="zh-CN" w:bidi="ar-SA"/>
        </w:rPr>
        <w:t>具备满意度调查，支持收集满意度</w:t>
      </w:r>
    </w:p>
    <w:p w14:paraId="09E51067">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6.</w:t>
      </w:r>
      <w:r>
        <w:rPr>
          <w:rFonts w:hint="default" w:ascii="仿宋_GB2312" w:hAnsi="仿宋_GB2312" w:eastAsia="仿宋_GB2312" w:cs="仿宋_GB2312"/>
          <w:b w:val="0"/>
          <w:bCs w:val="0"/>
          <w:color w:val="auto"/>
          <w:sz w:val="24"/>
          <w:szCs w:val="24"/>
          <w:lang w:val="en-US" w:eastAsia="zh-CN" w:bidi="ar-SA"/>
        </w:rPr>
        <w:t>具备图片、视频及语音通知功能</w:t>
      </w:r>
    </w:p>
    <w:p w14:paraId="29D8A302">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7.</w:t>
      </w:r>
      <w:r>
        <w:rPr>
          <w:rFonts w:hint="default" w:ascii="仿宋_GB2312" w:hAnsi="仿宋_GB2312" w:eastAsia="仿宋_GB2312" w:cs="仿宋_GB2312"/>
          <w:b w:val="0"/>
          <w:bCs w:val="0"/>
          <w:color w:val="auto"/>
          <w:sz w:val="24"/>
          <w:szCs w:val="24"/>
          <w:lang w:val="en-US" w:eastAsia="zh-CN" w:bidi="ar-SA"/>
        </w:rPr>
        <w:t>具备子账户功能，可以最少5级创建，并且主账户可以查看子账户的发送记录以及统计。</w:t>
      </w:r>
    </w:p>
    <w:p w14:paraId="4EAC43D6">
      <w:pPr>
        <w:widowControl w:val="0"/>
        <w:spacing w:after="120" w:line="360" w:lineRule="auto"/>
        <w:ind w:left="0" w:leftChars="0" w:firstLine="480" w:firstLineChars="200"/>
        <w:jc w:val="both"/>
        <w:rPr>
          <w:rFonts w:hint="default" w:ascii="仿宋_GB2312" w:hAnsi="仿宋_GB2312" w:eastAsia="仿宋_GB2312" w:cs="仿宋_GB2312"/>
          <w:b w:val="0"/>
          <w:bCs w:val="0"/>
          <w:color w:val="auto"/>
          <w:sz w:val="24"/>
          <w:szCs w:val="24"/>
          <w:lang w:val="en-US" w:eastAsia="zh-CN" w:bidi="ar-SA"/>
        </w:rPr>
      </w:pPr>
      <w:r>
        <w:rPr>
          <w:rFonts w:hint="eastAsia" w:ascii="仿宋_GB2312" w:hAnsi="仿宋_GB2312" w:eastAsia="仿宋_GB2312" w:cs="仿宋_GB2312"/>
          <w:b w:val="0"/>
          <w:bCs w:val="0"/>
          <w:color w:val="auto"/>
          <w:sz w:val="24"/>
          <w:szCs w:val="24"/>
          <w:lang w:val="en-US" w:eastAsia="zh-CN" w:bidi="ar-SA"/>
        </w:rPr>
        <w:t>8.</w:t>
      </w:r>
      <w:r>
        <w:rPr>
          <w:rFonts w:hint="default" w:ascii="仿宋_GB2312" w:hAnsi="仿宋_GB2312" w:eastAsia="仿宋_GB2312" w:cs="仿宋_GB2312"/>
          <w:b w:val="0"/>
          <w:bCs w:val="0"/>
          <w:color w:val="auto"/>
          <w:sz w:val="24"/>
          <w:szCs w:val="24"/>
          <w:lang w:val="en-US" w:eastAsia="zh-CN" w:bidi="ar-SA"/>
        </w:rPr>
        <w:t>具备余额提醒功能，满足 ①短信提醒 ②邮箱提醒</w:t>
      </w:r>
    </w:p>
    <w:p w14:paraId="25759C84">
      <w:pPr>
        <w:pStyle w:val="5"/>
        <w:numPr>
          <w:numId w:val="0"/>
        </w:numPr>
        <w:ind w:leftChars="0"/>
        <w:rPr>
          <w:rFonts w:hint="eastAsia"/>
          <w:lang w:val="en-US" w:eastAsia="zh-CN"/>
        </w:rPr>
      </w:pPr>
    </w:p>
    <w:p w14:paraId="1701B70E">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（四）</w:t>
      </w:r>
      <w:r>
        <w:rPr>
          <w:rFonts w:hint="eastAsia" w:ascii="仿宋_GB2312" w:hAnsi="宋体" w:eastAsia="仿宋_GB2312"/>
          <w:sz w:val="24"/>
          <w:szCs w:val="32"/>
        </w:rPr>
        <w:t>★</w:t>
      </w:r>
      <w:r>
        <w:rPr>
          <w:rFonts w:hint="eastAsia" w:ascii="仿宋_GB2312" w:hAnsi="仿宋_GB2312" w:eastAsia="仿宋_GB2312" w:cs="仿宋_GB2312"/>
          <w:b/>
          <w:bCs/>
          <w:sz w:val="24"/>
          <w:szCs w:val="24"/>
          <w:lang w:val="en-US" w:eastAsia="zh-CN" w:bidi="ar-SA"/>
        </w:rPr>
        <w:t>系统对接需求</w:t>
      </w:r>
    </w:p>
    <w:p w14:paraId="348BEBC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1.免费提供标准接口文档及对接技术支持。</w:t>
      </w:r>
    </w:p>
    <w:p w14:paraId="2465711B">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2.支持与医院HIS、统一预约平台、掌医小程序、胃肠外科网站系统无缝对接。</w:t>
      </w:r>
    </w:p>
    <w:p w14:paraId="4788A16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3.对接实施过程不得影响院内业务系统正常运行。</w:t>
      </w:r>
    </w:p>
    <w:p w14:paraId="2DD60410">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五、安全与合规要求</w:t>
      </w:r>
    </w:p>
    <w:p w14:paraId="6B7FD252">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1.严格保护患者隐私，患者手机号及信息不得存储、泄露、倒卖、挪作他用。</w:t>
      </w:r>
    </w:p>
    <w:p w14:paraId="71DE2583">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2.仅允许发送医疗服务类通知，严禁发送商业广告、营销信息及无关内容。</w:t>
      </w:r>
    </w:p>
    <w:p w14:paraId="5143973D">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3.满足医院网络安全、等保要求及医疗卫生行业数据安全管理规范。</w:t>
      </w:r>
    </w:p>
    <w:p w14:paraId="797E2D17">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4.所有发送记录、操作记录可追溯，满足监管与审计要求。</w:t>
      </w:r>
    </w:p>
    <w:p w14:paraId="0AE00A1A">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六、技术服务与售后要求</w:t>
      </w:r>
    </w:p>
    <w:p w14:paraId="4B3D54FE">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1.提供免费系统对接、调试、测试等服务。</w:t>
      </w:r>
    </w:p>
    <w:p w14:paraId="1B2A3460">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2.故障响应：（1）一般问题：15分钟内响应，2小时内解决。（2）重大故障（通道中断、无法发送）：5分钟内响应，30分钟内恢复。</w:t>
      </w:r>
    </w:p>
    <w:p w14:paraId="49A3AB0B">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3.按季度/月提供发送明细对账，按实际成功发送量结算。</w:t>
      </w:r>
    </w:p>
    <w:p w14:paraId="6F34C4E7">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七、</w:t>
      </w:r>
      <w:r>
        <w:rPr>
          <w:rFonts w:hint="eastAsia" w:ascii="仿宋_GB2312" w:hAnsi="宋体" w:eastAsia="仿宋_GB2312"/>
          <w:sz w:val="24"/>
          <w:szCs w:val="32"/>
        </w:rPr>
        <w:t>★</w:t>
      </w:r>
      <w:r>
        <w:rPr>
          <w:rFonts w:hint="eastAsia" w:ascii="仿宋_GB2312" w:hAnsi="仿宋_GB2312" w:eastAsia="仿宋_GB2312" w:cs="仿宋_GB2312"/>
          <w:b/>
          <w:bCs/>
          <w:sz w:val="24"/>
          <w:szCs w:val="24"/>
          <w:lang w:val="en-US" w:eastAsia="zh-CN" w:bidi="ar-SA"/>
        </w:rPr>
        <w:t>报价要求</w:t>
      </w:r>
    </w:p>
    <w:p w14:paraId="41378044">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1.报价单位：元/条（含税，含通道费、平台费、接口费、服务费、维护费以及第三方接口费用）。</w:t>
      </w:r>
    </w:p>
    <w:p w14:paraId="11FB8A3C">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2.报价包含所有费用，不得额外收取对接费、调试费、年费等。</w:t>
      </w:r>
    </w:p>
    <w:p w14:paraId="3B7D26BC">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3.按实际成功发送量结算。</w:t>
      </w:r>
    </w:p>
    <w:p w14:paraId="08B9139C">
      <w:pPr>
        <w:pStyle w:val="2"/>
        <w:ind w:left="0" w:leftChars="0" w:firstLine="0" w:firstLineChars="0"/>
        <w:rPr>
          <w:rFonts w:hint="default" w:ascii="仿宋_GB2312" w:hAnsi="仿宋_GB2312" w:eastAsia="仿宋_GB2312" w:cs="仿宋_GB2312"/>
          <w:b w:val="0"/>
          <w:bCs w:val="0"/>
          <w:sz w:val="24"/>
          <w:szCs w:val="24"/>
          <w:lang w:val="en-US" w:eastAsia="zh-CN" w:bidi="ar-SA"/>
        </w:rPr>
      </w:pPr>
      <w:r>
        <w:rPr>
          <w:rFonts w:hint="eastAsia"/>
          <w:lang w:val="en-US" w:eastAsia="zh-CN"/>
        </w:rPr>
        <w:t xml:space="preserve">    </w:t>
      </w:r>
      <w:r>
        <w:rPr>
          <w:rFonts w:hint="eastAsia" w:ascii="仿宋_GB2312" w:hAnsi="仿宋_GB2312" w:eastAsia="仿宋_GB2312" w:cs="仿宋_GB2312"/>
          <w:b w:val="0"/>
          <w:bCs w:val="0"/>
          <w:sz w:val="24"/>
          <w:szCs w:val="24"/>
          <w:lang w:val="en-US" w:eastAsia="zh-CN" w:bidi="ar-SA"/>
        </w:rPr>
        <w:t xml:space="preserve"> 4.投标人须负责与医院现有系统对接。</w:t>
      </w:r>
      <w:r>
        <w:rPr>
          <w:rFonts w:hint="default" w:ascii="仿宋_GB2312" w:hAnsi="仿宋_GB2312" w:eastAsia="仿宋_GB2312" w:cs="仿宋_GB2312"/>
          <w:b w:val="0"/>
          <w:bCs w:val="0"/>
          <w:sz w:val="24"/>
          <w:szCs w:val="24"/>
          <w:lang w:val="en-US" w:eastAsia="zh-CN" w:bidi="ar-SA"/>
        </w:rPr>
        <w:t>若对接过程中需采购第三方接口服务或支付接口许可费用，该费用已包含在本次投标总价中，由中标人承担。 投标人应自行踏勘现场，评估接口难度，采购人不提供额外的接口开发费用</w:t>
      </w:r>
      <w:r>
        <w:rPr>
          <w:rFonts w:hint="eastAsia" w:ascii="仿宋_GB2312" w:hAnsi="仿宋_GB2312" w:eastAsia="仿宋_GB2312" w:cs="仿宋_GB2312"/>
          <w:b w:val="0"/>
          <w:bCs w:val="0"/>
          <w:sz w:val="24"/>
          <w:szCs w:val="24"/>
          <w:lang w:val="en-US" w:eastAsia="zh-CN" w:bidi="ar-SA"/>
        </w:rPr>
        <w:t>。（备注：</w:t>
      </w:r>
      <w:r>
        <w:rPr>
          <w:rFonts w:hint="default" w:ascii="仿宋_GB2312" w:hAnsi="仿宋_GB2312" w:eastAsia="仿宋_GB2312" w:cs="仿宋_GB2312"/>
          <w:b w:val="0"/>
          <w:bCs w:val="0"/>
          <w:sz w:val="24"/>
          <w:szCs w:val="24"/>
          <w:lang w:val="en-US" w:eastAsia="zh-CN" w:bidi="ar-SA"/>
        </w:rPr>
        <w:t>提供承诺函（格式自拟）并加盖响应人公章，承诺满足上述要求。</w:t>
      </w:r>
      <w:r>
        <w:rPr>
          <w:rFonts w:hint="eastAsia" w:ascii="仿宋_GB2312" w:hAnsi="仿宋_GB2312" w:eastAsia="仿宋_GB2312" w:cs="仿宋_GB2312"/>
          <w:b w:val="0"/>
          <w:bCs w:val="0"/>
          <w:sz w:val="24"/>
          <w:szCs w:val="24"/>
          <w:lang w:val="en-US" w:eastAsia="zh-CN" w:bidi="ar-SA"/>
        </w:rPr>
        <w:t>）</w:t>
      </w:r>
    </w:p>
    <w:p w14:paraId="168A1B7C">
      <w:pPr>
        <w:widowControl w:val="0"/>
        <w:jc w:val="both"/>
        <w:rPr>
          <w:rFonts w:hint="eastAsia" w:ascii="仿宋_GB2312" w:hAnsi="仿宋_GB2312" w:eastAsia="仿宋_GB2312" w:cs="仿宋_GB2312"/>
          <w:b/>
          <w:bCs/>
          <w:sz w:val="24"/>
          <w:szCs w:val="24"/>
          <w:lang w:val="en-US" w:eastAsia="zh-CN" w:bidi="ar-SA"/>
        </w:rPr>
      </w:pPr>
      <w:r>
        <w:rPr>
          <w:rFonts w:hint="eastAsia" w:ascii="仿宋_GB2312" w:hAnsi="仿宋_GB2312" w:eastAsia="仿宋_GB2312" w:cs="仿宋_GB2312"/>
          <w:b/>
          <w:bCs/>
          <w:sz w:val="24"/>
          <w:szCs w:val="24"/>
          <w:lang w:val="en-US" w:eastAsia="zh-CN" w:bidi="ar-SA"/>
        </w:rPr>
        <w:t>八、项目交付与验收</w:t>
      </w:r>
    </w:p>
    <w:p w14:paraId="06C965DF">
      <w:pPr>
        <w:widowControl w:val="0"/>
        <w:spacing w:after="120" w:line="360" w:lineRule="auto"/>
        <w:ind w:left="0" w:leftChars="0" w:firstLine="480" w:firstLineChars="200"/>
        <w:jc w:val="both"/>
        <w:rPr>
          <w:rFonts w:hint="eastAsia"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1.交付内容：平台账号、接口文档、开发资料、对接方案、测试报告、资质文件。</w:t>
      </w:r>
    </w:p>
    <w:p w14:paraId="197F624A">
      <w:pPr>
        <w:widowControl w:val="0"/>
        <w:spacing w:after="120" w:line="360" w:lineRule="auto"/>
        <w:ind w:left="0" w:leftChars="0" w:firstLine="480" w:firstLineChars="200"/>
        <w:jc w:val="both"/>
        <w:rPr>
          <w:rFonts w:hint="default" w:ascii="仿宋_GB2312" w:hAnsi="仿宋_GB2312" w:eastAsia="仿宋_GB2312" w:cs="仿宋_GB2312"/>
          <w:b w:val="0"/>
          <w:bCs w:val="0"/>
          <w:sz w:val="24"/>
          <w:szCs w:val="24"/>
          <w:lang w:val="en-US" w:eastAsia="zh-CN" w:bidi="ar-SA"/>
        </w:rPr>
      </w:pPr>
      <w:r>
        <w:rPr>
          <w:rFonts w:hint="eastAsia" w:ascii="仿宋_GB2312" w:hAnsi="仿宋_GB2312" w:eastAsia="仿宋_GB2312" w:cs="仿宋_GB2312"/>
          <w:b w:val="0"/>
          <w:bCs w:val="0"/>
          <w:sz w:val="24"/>
          <w:szCs w:val="24"/>
          <w:lang w:val="en-US" w:eastAsia="zh-CN" w:bidi="ar-SA"/>
        </w:rPr>
        <w:t>2.验收标准：所有功能满足本需求书要求。系统对接完成，可正常自动发送；连续稳定运行7天以上，送达率达标；培训完成，院内人员可独立操作；所有资质真实有效。</w:t>
      </w:r>
    </w:p>
    <w:p w14:paraId="30EC0F04">
      <w:pPr>
        <w:pStyle w:val="6"/>
        <w:ind w:firstLine="480"/>
        <w:rPr>
          <w:rFonts w:ascii="仿宋_GB2312" w:hAnsi="宋体" w:eastAsia="仿宋_GB2312"/>
          <w:sz w:val="24"/>
          <w:szCs w:val="32"/>
        </w:rPr>
      </w:pPr>
    </w:p>
    <w:p w14:paraId="4757856C">
      <w:pPr>
        <w:widowControl/>
        <w:rPr>
          <w:rFonts w:ascii="黑体" w:hAnsi="黑体" w:eastAsia="黑体" w:cs="仿宋_GB2312"/>
          <w:color w:val="222222"/>
          <w:sz w:val="28"/>
          <w:szCs w:val="28"/>
          <w:lang w:eastAsia="zh-CN" w:bidi="ar"/>
        </w:rPr>
      </w:pPr>
      <w:r>
        <w:rPr>
          <w:rFonts w:hint="eastAsia" w:ascii="黑体" w:hAnsi="黑体" w:eastAsia="黑体" w:cs="仿宋_GB2312"/>
          <w:color w:val="222222"/>
          <w:sz w:val="28"/>
          <w:szCs w:val="28"/>
          <w:lang w:eastAsia="zh-CN" w:bidi="ar"/>
        </w:rPr>
        <w:t>注意：</w:t>
      </w:r>
    </w:p>
    <w:p w14:paraId="7CFA6F48">
      <w:pPr>
        <w:pStyle w:val="6"/>
        <w:ind w:firstLine="480"/>
        <w:rPr>
          <w:rFonts w:ascii="仿宋_GB2312" w:hAnsi="宋体" w:eastAsia="仿宋_GB2312"/>
          <w:sz w:val="24"/>
          <w:szCs w:val="32"/>
        </w:rPr>
      </w:pPr>
      <w:r>
        <w:rPr>
          <w:rFonts w:hint="eastAsia" w:ascii="仿宋_GB2312" w:hAnsi="宋体" w:eastAsia="仿宋_GB2312"/>
          <w:sz w:val="24"/>
          <w:szCs w:val="32"/>
        </w:rPr>
        <w:t>1</w:t>
      </w:r>
      <w:r>
        <w:rPr>
          <w:rFonts w:ascii="仿宋_GB2312" w:hAnsi="宋体" w:eastAsia="仿宋_GB2312"/>
          <w:sz w:val="24"/>
          <w:szCs w:val="32"/>
        </w:rPr>
        <w:t>.</w:t>
      </w:r>
      <w:r>
        <w:rPr>
          <w:rFonts w:hint="eastAsia" w:ascii="仿宋_GB2312" w:hAnsi="宋体" w:eastAsia="仿宋_GB2312"/>
          <w:sz w:val="24"/>
          <w:szCs w:val="32"/>
        </w:rPr>
        <w:t>打“★”号条款为实质性条款，若有任何一条负偏离或不满足则导致投标无效。</w:t>
      </w:r>
    </w:p>
    <w:p w14:paraId="699427AE">
      <w:pPr>
        <w:pStyle w:val="6"/>
        <w:ind w:firstLine="480"/>
        <w:rPr>
          <w:rFonts w:ascii="仿宋_GB2312" w:hAnsi="宋体" w:eastAsia="仿宋_GB2312"/>
          <w:sz w:val="24"/>
          <w:szCs w:val="32"/>
        </w:rPr>
      </w:pPr>
      <w:r>
        <w:rPr>
          <w:rFonts w:hint="eastAsia" w:ascii="仿宋_GB2312" w:hAnsi="宋体" w:eastAsia="仿宋_GB2312"/>
          <w:sz w:val="24"/>
          <w:szCs w:val="32"/>
        </w:rPr>
        <w:t>2</w:t>
      </w:r>
      <w:r>
        <w:rPr>
          <w:rFonts w:ascii="仿宋_GB2312" w:hAnsi="宋体" w:eastAsia="仿宋_GB2312"/>
          <w:sz w:val="24"/>
          <w:szCs w:val="32"/>
        </w:rPr>
        <w:t>.</w:t>
      </w:r>
      <w:r>
        <w:rPr>
          <w:rFonts w:hint="eastAsia"/>
        </w:rPr>
        <w:t xml:space="preserve"> </w:t>
      </w:r>
      <w:r>
        <w:rPr>
          <w:rFonts w:hint="eastAsia" w:ascii="仿宋_GB2312" w:hAnsi="宋体" w:eastAsia="仿宋_GB2312"/>
          <w:sz w:val="24"/>
          <w:szCs w:val="32"/>
        </w:rPr>
        <w:t>证明材料是指：</w:t>
      </w:r>
      <w:r>
        <w:rPr>
          <w:rFonts w:ascii="仿宋_GB2312" w:hAnsi="宋体" w:eastAsia="仿宋_GB2312"/>
          <w:sz w:val="24"/>
          <w:szCs w:val="32"/>
        </w:rPr>
        <w:t>需提供所投产品生产厂家的技术支持文件（如：医疗器械注册证</w:t>
      </w:r>
      <w:r>
        <w:rPr>
          <w:rFonts w:hint="eastAsia" w:ascii="仿宋_GB2312" w:hAnsi="宋体" w:eastAsia="仿宋_GB2312"/>
          <w:sz w:val="24"/>
          <w:szCs w:val="32"/>
        </w:rPr>
        <w:t>及技术要求</w:t>
      </w:r>
      <w:r>
        <w:rPr>
          <w:rFonts w:ascii="仿宋_GB2312" w:hAnsi="宋体" w:eastAsia="仿宋_GB2312"/>
          <w:sz w:val="24"/>
          <w:szCs w:val="32"/>
        </w:rPr>
        <w:t>/技术白皮书/产品检验报告/</w:t>
      </w:r>
      <w:r>
        <w:rPr>
          <w:rFonts w:hint="eastAsia" w:ascii="仿宋_GB2312" w:hAnsi="宋体" w:eastAsia="仿宋_GB2312"/>
          <w:sz w:val="24"/>
          <w:szCs w:val="32"/>
        </w:rPr>
        <w:t>产品使用或操作</w:t>
      </w:r>
      <w:r>
        <w:rPr>
          <w:rFonts w:ascii="仿宋_GB2312" w:hAnsi="宋体" w:eastAsia="仿宋_GB2312"/>
          <w:sz w:val="24"/>
          <w:szCs w:val="32"/>
        </w:rPr>
        <w:t>说明书/</w:t>
      </w:r>
      <w:r>
        <w:rPr>
          <w:rFonts w:hint="eastAsia" w:ascii="仿宋_GB2312" w:hAnsi="宋体" w:eastAsia="仿宋_GB2312"/>
          <w:sz w:val="24"/>
          <w:szCs w:val="32"/>
        </w:rPr>
        <w:t>官方</w:t>
      </w:r>
      <w:r>
        <w:rPr>
          <w:rFonts w:ascii="仿宋_GB2312" w:hAnsi="宋体" w:eastAsia="仿宋_GB2312"/>
          <w:sz w:val="24"/>
          <w:szCs w:val="32"/>
        </w:rPr>
        <w:t>网站截图）。</w:t>
      </w:r>
      <w:r>
        <w:rPr>
          <w:rFonts w:hint="eastAsia" w:ascii="仿宋_GB2312" w:hAnsi="宋体" w:eastAsia="仿宋_GB2312"/>
          <w:sz w:val="24"/>
          <w:szCs w:val="32"/>
        </w:rPr>
        <w:t>证明材料</w:t>
      </w:r>
      <w:r>
        <w:rPr>
          <w:rFonts w:ascii="仿宋_GB2312" w:hAnsi="宋体" w:eastAsia="仿宋_GB2312"/>
          <w:sz w:val="24"/>
          <w:szCs w:val="32"/>
        </w:rPr>
        <w:t>必须体现招标文件参数要求的具体参数数值,并在技术参数偏离表内备注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6"/>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3"/>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8"/>
        <w:spacing w:before="8" w:line="300" w:lineRule="exact"/>
        <w:rPr>
          <w:rFonts w:ascii="仿宋_GB2312" w:hAnsi="仿宋_GB2312" w:eastAsia="仿宋_GB2312" w:cs="仿宋_GB2312"/>
          <w:b/>
          <w:sz w:val="24"/>
          <w:szCs w:val="24"/>
          <w:lang w:eastAsia="zh-CN"/>
        </w:rPr>
      </w:pPr>
    </w:p>
    <w:p w14:paraId="4AAE7F6E">
      <w:pPr>
        <w:pStyle w:val="8"/>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供应商应提交证明其有资格参加询价和成交后有能力履行合同的相关文件，并作为其响应文件的一部分，所有文件必须真实可靠、不得伪造，否则将按相关规定予以处罚。</w:t>
      </w:r>
    </w:p>
    <w:p w14:paraId="2D760ED7">
      <w:pPr>
        <w:pStyle w:val="8"/>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8"/>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8"/>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8"/>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8"/>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8"/>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五、按照询价通知书要求，供应商应当提交的其他资格、资信证明文件。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3"/>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2"/>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2"/>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2"/>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1.询价小组成员应当遵循客观、公正、审慎的原则，根据询价通知书规定的评审程序、评审方法和评审标准进行独立评审。</w:t>
      </w:r>
    </w:p>
    <w:p w14:paraId="1AC9B4EF">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2.具体评审事项由询价小组负责，并按询价通知书规定的办法进行评审。</w:t>
      </w:r>
    </w:p>
    <w:p w14:paraId="028FB751">
      <w:pPr>
        <w:pStyle w:val="2"/>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（三）询价小组</w:t>
      </w:r>
    </w:p>
    <w:p w14:paraId="62CD8307">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人以上单数组成，其中评审专家人数不得少于询价小组成员总数的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2.询价小组成员有下列情形之一的，应当回避：</w:t>
      </w:r>
    </w:p>
    <w:p w14:paraId="51423BB8">
      <w:pPr>
        <w:pStyle w:val="18"/>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8"/>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8"/>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8"/>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3.询价小组应当履行下列职责：</w:t>
      </w:r>
    </w:p>
    <w:p w14:paraId="7CB33B1A">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（1）确认或者制定询价通知书；</w:t>
      </w:r>
    </w:p>
    <w:p w14:paraId="069609C9">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家的供应商参加询价；</w:t>
      </w:r>
    </w:p>
    <w:p w14:paraId="2524ABDC">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1.询价小组不接受供应商主动提出的澄清、说明或更正。</w:t>
      </w:r>
    </w:p>
    <w:p w14:paraId="1857B741">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2.询价小组对供应商提交的澄清、说明或更正有疑问的，可以要求供应商进一步澄清、说明或更正。</w:t>
      </w:r>
    </w:p>
    <w:p w14:paraId="63CF8290">
      <w:pPr>
        <w:pStyle w:val="2"/>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2"/>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2.未实质性响应询价通知书的，响应无效；</w:t>
      </w:r>
    </w:p>
    <w:p w14:paraId="70CA3FEE">
      <w:pPr>
        <w:pStyle w:val="18"/>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3.法律、法规和询价通知书规定的其他无效情形。</w:t>
      </w:r>
    </w:p>
    <w:p w14:paraId="21D4B031">
      <w:pPr>
        <w:pStyle w:val="2"/>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出现下列情形之一的，采购人应当终止询价采购活动，发布项目终止公告并说明原因，重新开展采购活动：</w:t>
      </w:r>
    </w:p>
    <w:p w14:paraId="40925AEA">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1.因情况变化，不再符合规定的询价采购方式适用情形的；</w:t>
      </w:r>
    </w:p>
    <w:p w14:paraId="4E1AE1C4">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4.法律、法规以及询价通知书规定其他情形。</w:t>
      </w:r>
    </w:p>
    <w:p w14:paraId="6AFFB4D3">
      <w:pPr>
        <w:pStyle w:val="2"/>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评审结束后，询价小组根据采购人书面授权直接确定成交供应商或者由采购人从评审报告提出的成交候选供应商中按顺序确定成交供应商。</w:t>
      </w:r>
    </w:p>
    <w:p w14:paraId="62C50A8B">
      <w:pPr>
        <w:pStyle w:val="2"/>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8"/>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询价通知书相关要求执行。</w:t>
      </w:r>
    </w:p>
    <w:p w14:paraId="082A6FBE">
      <w:pPr>
        <w:pStyle w:val="8"/>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8"/>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8"/>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8"/>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合同包（智慧短信产品采购项目）</w:t>
      </w:r>
    </w:p>
    <w:tbl>
      <w:tblPr>
        <w:tblStyle w:val="12"/>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9"/>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9"/>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9"/>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9"/>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9"/>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9"/>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9"/>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9"/>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9"/>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8"/>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2"/>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2"/>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1.询价小组依据法律法规和谈判文件的规定，对响应文件中的资格证明文件等进行审查，以确定供应商是否具备响应资格。</w:t>
      </w:r>
    </w:p>
    <w:p w14:paraId="7820C379">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8"/>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8"/>
        <w:jc w:val="center"/>
        <w:rPr>
          <w:rFonts w:ascii="仿宋_GB2312" w:hAnsi="仿宋_GB2312" w:eastAsia="仿宋_GB2312" w:cs="仿宋_GB2312"/>
          <w:b/>
          <w:bCs/>
          <w:sz w:val="24"/>
          <w:szCs w:val="24"/>
          <w:lang w:eastAsia="zh-CN"/>
        </w:rPr>
      </w:pPr>
    </w:p>
    <w:p w14:paraId="79866FA7">
      <w:pPr>
        <w:pStyle w:val="8"/>
        <w:jc w:val="center"/>
        <w:rPr>
          <w:rFonts w:ascii="仿宋_GB2312" w:hAnsi="仿宋_GB2312" w:eastAsia="仿宋_GB2312" w:cs="仿宋_GB2312"/>
          <w:b/>
          <w:bCs/>
          <w:sz w:val="24"/>
          <w:szCs w:val="24"/>
          <w:lang w:eastAsia="zh-CN"/>
        </w:rPr>
      </w:pPr>
    </w:p>
    <w:p w14:paraId="3CE474F4">
      <w:pPr>
        <w:pStyle w:val="8"/>
        <w:jc w:val="center"/>
        <w:rPr>
          <w:rFonts w:ascii="仿宋_GB2312" w:hAnsi="仿宋_GB2312" w:eastAsia="仿宋_GB2312" w:cs="仿宋_GB2312"/>
          <w:b/>
          <w:bCs/>
          <w:sz w:val="24"/>
          <w:szCs w:val="24"/>
          <w:lang w:eastAsia="zh-CN"/>
        </w:rPr>
      </w:pPr>
    </w:p>
    <w:p w14:paraId="3993693E">
      <w:pPr>
        <w:pStyle w:val="8"/>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2"/>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9"/>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9"/>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9"/>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9"/>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1.提供递交投标文件截止之日前一年内（至少三个月）的良好缴纳税收的相关凭据。（以税务机关 提供的纳税凭据或银行入账单为准）；</w:t>
            </w:r>
          </w:p>
          <w:p w14:paraId="348C01C2">
            <w:pPr>
              <w:pStyle w:val="19"/>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9"/>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9"/>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9"/>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9"/>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9"/>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8"/>
        <w:spacing w:before="6" w:line="300" w:lineRule="exact"/>
        <w:rPr>
          <w:rFonts w:ascii="仿宋_GB2312" w:hAnsi="仿宋_GB2312" w:eastAsia="仿宋_GB2312" w:cs="仿宋_GB2312"/>
          <w:b/>
          <w:sz w:val="24"/>
          <w:szCs w:val="24"/>
          <w:lang w:eastAsia="zh-CN"/>
        </w:rPr>
      </w:pPr>
    </w:p>
    <w:p w14:paraId="74F22B4C">
      <w:pPr>
        <w:pStyle w:val="2"/>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8"/>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1.询价小组依据询价文件的规定，从响应文件的有效性、完整性和对询价文件的响应程度进行审查，以确定是否对询价</w:t>
      </w:r>
      <w:r>
        <w:rPr>
          <w:rFonts w:hint="eastAsia" w:ascii="仿宋_GB2312" w:hAnsi="仿宋_GB2312" w:eastAsia="仿宋_GB2312" w:cs="仿宋_GB2312"/>
          <w:sz w:val="24"/>
          <w:szCs w:val="24"/>
          <w:lang w:eastAsia="zh-CN"/>
        </w:rPr>
        <w:t>文件的实质性要求作出响应。</w:t>
      </w:r>
    </w:p>
    <w:p w14:paraId="1EA9639D">
      <w:pPr>
        <w:pStyle w:val="18"/>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8"/>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9"/>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9"/>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9"/>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9"/>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9"/>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9"/>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询价文件要求的其他无效投标情形；围标、串标和法律法规规定的其它无效投标条款。</w:t>
            </w:r>
          </w:p>
        </w:tc>
      </w:tr>
    </w:tbl>
    <w:p w14:paraId="35E0E2AC">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（三）询价</w:t>
      </w:r>
    </w:p>
    <w:p w14:paraId="67E4F6C1">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询价小组所有成员应当集中与单一供应商分别进行谈判，并给予所有参加谈判的供应商平等的谈判机会。</w:t>
      </w:r>
    </w:p>
    <w:p w14:paraId="5380917F">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在询价过程中，询价小组可以根据询价文件和询价情况实质性变动采购需求中的技术、服务要求以及合同草案条款，但不得变动询价文件中的其他内容。实质性变动的内容，须经采购人代表确认。</w:t>
      </w:r>
    </w:p>
    <w:p w14:paraId="41111B93">
      <w:pPr>
        <w:pStyle w:val="19"/>
        <w:ind w:firstLine="480" w:firstLineChars="200"/>
        <w:jc w:val="both"/>
        <w:rPr>
          <w:rFonts w:ascii="仿宋_GB2312" w:hAnsi="仿宋_GB2312" w:eastAsia="仿宋_GB2312" w:cs="仿宋_GB2312"/>
          <w:sz w:val="24"/>
          <w:szCs w:val="24"/>
          <w:lang w:eastAsia="zh-CN"/>
        </w:rPr>
      </w:pPr>
    </w:p>
    <w:p w14:paraId="31C7EE1D">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依据《政府采购促进中小企业发展管理办法》等规定，对符合条件的小微企业、监狱企业或残疾人福利性单位给予价格扣除。 </w:t>
      </w:r>
    </w:p>
    <w:p w14:paraId="117569D9">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询价小组应当从质量和服务均能满足谈判文件实质性响应要求的供应商中，按照最后报价由低到高的顺序提出3名以上成 交候选人，并编写评审报告。</w:t>
      </w:r>
    </w:p>
    <w:p w14:paraId="63E82559">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可以书面授权询价小组直接确定成交供应商。采购人逾期未确定成交供应商且不提出异议的，视为确定评审报告提出的最后报价最低的供应商为成交供应商。 </w:t>
      </w:r>
    </w:p>
    <w:p w14:paraId="2763DC1E">
      <w:pPr>
        <w:pStyle w:val="19"/>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购人按照《政府采购非招标采购方式管理办法》规定，经本级财政部门批准后可以与该两家供应商进行竞争性询价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3"/>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2"/>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8"/>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采购人应当自中标（成交）通知书发出之日起30日内，按照招标（磋商、谈判）文件或询价通知书和中标（成交）供 应商投标（响应）文件的规定，与中标（成交）供应商签订书面合同。所签订的合同不得对招标（磋商、谈判）文件或询价通知书确定的事项作实质性修改。采购人、供应商不得提出任何不合理的要求作为签订合同的条件。</w:t>
      </w:r>
    </w:p>
    <w:p w14:paraId="3F13A54A">
      <w:pPr>
        <w:pStyle w:val="18"/>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8"/>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2"/>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5"/>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5"/>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2"/>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2"/>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9"/>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9"/>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9"/>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9"/>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9"/>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招标（磋商、谈判）文件或询价通知书</w:t>
            </w:r>
          </w:p>
          <w:p w14:paraId="3899F1F5">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9"/>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9"/>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9"/>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9"/>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9"/>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9"/>
              <w:numPr>
                <w:ilvl w:val="0"/>
                <w:numId w:val="3"/>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9"/>
              <w:numPr>
                <w:ilvl w:val="0"/>
                <w:numId w:val="3"/>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9"/>
              <w:jc w:val="both"/>
              <w:rPr>
                <w:rFonts w:ascii="仿宋_GB2312" w:hAnsi="仿宋_GB2312" w:eastAsia="仿宋_GB2312" w:cs="仿宋_GB2312"/>
                <w:b/>
                <w:sz w:val="21"/>
                <w:szCs w:val="21"/>
                <w:lang w:eastAsia="zh-CN"/>
              </w:rPr>
            </w:pPr>
          </w:p>
          <w:p w14:paraId="366D6E2B">
            <w:pPr>
              <w:pStyle w:val="19"/>
              <w:jc w:val="both"/>
              <w:rPr>
                <w:rFonts w:ascii="仿宋_GB2312" w:hAnsi="仿宋_GB2312" w:eastAsia="仿宋_GB2312" w:cs="仿宋_GB2312"/>
                <w:b/>
                <w:sz w:val="21"/>
                <w:szCs w:val="21"/>
                <w:lang w:eastAsia="zh-CN"/>
              </w:rPr>
            </w:pPr>
          </w:p>
          <w:p w14:paraId="5144825C">
            <w:pPr>
              <w:pStyle w:val="19"/>
              <w:jc w:val="both"/>
              <w:rPr>
                <w:rFonts w:ascii="仿宋_GB2312" w:hAnsi="仿宋_GB2312" w:eastAsia="仿宋_GB2312" w:cs="仿宋_GB2312"/>
                <w:b/>
                <w:sz w:val="21"/>
                <w:szCs w:val="21"/>
                <w:lang w:eastAsia="zh-CN"/>
              </w:rPr>
            </w:pPr>
          </w:p>
          <w:p w14:paraId="2584D9F0">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9"/>
              <w:jc w:val="both"/>
              <w:rPr>
                <w:rFonts w:ascii="仿宋_GB2312" w:hAnsi="仿宋_GB2312" w:eastAsia="仿宋_GB2312" w:cs="仿宋_GB2312"/>
                <w:b/>
                <w:sz w:val="21"/>
                <w:szCs w:val="21"/>
              </w:rPr>
            </w:pPr>
          </w:p>
          <w:p w14:paraId="7BA74D6E">
            <w:pPr>
              <w:pStyle w:val="19"/>
              <w:jc w:val="both"/>
              <w:rPr>
                <w:rFonts w:ascii="仿宋_GB2312" w:hAnsi="仿宋_GB2312" w:eastAsia="仿宋_GB2312" w:cs="仿宋_GB2312"/>
                <w:b/>
                <w:sz w:val="21"/>
                <w:szCs w:val="21"/>
              </w:rPr>
            </w:pPr>
          </w:p>
          <w:p w14:paraId="12A6664B">
            <w:pPr>
              <w:pStyle w:val="19"/>
              <w:jc w:val="both"/>
              <w:rPr>
                <w:rFonts w:ascii="仿宋_GB2312" w:hAnsi="仿宋_GB2312" w:eastAsia="仿宋_GB2312" w:cs="仿宋_GB2312"/>
                <w:b/>
                <w:sz w:val="21"/>
                <w:szCs w:val="21"/>
              </w:rPr>
            </w:pPr>
          </w:p>
          <w:p w14:paraId="05FD1B38">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9"/>
              <w:jc w:val="both"/>
              <w:rPr>
                <w:rFonts w:ascii="仿宋_GB2312" w:hAnsi="仿宋_GB2312" w:eastAsia="仿宋_GB2312" w:cs="仿宋_GB2312"/>
                <w:b/>
                <w:sz w:val="21"/>
                <w:szCs w:val="21"/>
              </w:rPr>
            </w:pPr>
          </w:p>
          <w:p w14:paraId="35F34C76">
            <w:pPr>
              <w:pStyle w:val="19"/>
              <w:jc w:val="both"/>
              <w:rPr>
                <w:rFonts w:ascii="仿宋_GB2312" w:hAnsi="仿宋_GB2312" w:eastAsia="仿宋_GB2312" w:cs="仿宋_GB2312"/>
                <w:b/>
                <w:sz w:val="21"/>
                <w:szCs w:val="21"/>
              </w:rPr>
            </w:pPr>
          </w:p>
          <w:p w14:paraId="7358E035">
            <w:pPr>
              <w:pStyle w:val="19"/>
              <w:jc w:val="both"/>
              <w:rPr>
                <w:rFonts w:ascii="仿宋_GB2312" w:hAnsi="仿宋_GB2312" w:eastAsia="仿宋_GB2312" w:cs="仿宋_GB2312"/>
                <w:b/>
                <w:sz w:val="21"/>
                <w:szCs w:val="21"/>
              </w:rPr>
            </w:pPr>
          </w:p>
          <w:p w14:paraId="5E574DED">
            <w:pPr>
              <w:pStyle w:val="19"/>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9"/>
              <w:jc w:val="both"/>
              <w:rPr>
                <w:rFonts w:ascii="仿宋_GB2312" w:hAnsi="仿宋_GB2312" w:eastAsia="仿宋_GB2312" w:cs="仿宋_GB2312"/>
                <w:sz w:val="21"/>
                <w:szCs w:val="21"/>
              </w:rPr>
            </w:pPr>
          </w:p>
        </w:tc>
      </w:tr>
    </w:tbl>
    <w:p w14:paraId="53AB6AD7">
      <w:pPr>
        <w:pStyle w:val="8"/>
        <w:spacing w:before="2" w:line="300" w:lineRule="exact"/>
        <w:rPr>
          <w:rFonts w:ascii="仿宋_GB2312" w:hAnsi="仿宋_GB2312" w:eastAsia="仿宋_GB2312" w:cs="仿宋_GB2312"/>
          <w:b/>
          <w:sz w:val="24"/>
          <w:szCs w:val="24"/>
        </w:rPr>
      </w:pPr>
    </w:p>
    <w:p w14:paraId="61101C0D">
      <w:pPr>
        <w:pStyle w:val="8"/>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8"/>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8"/>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8"/>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3"/>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20"/>
        <w:rPr>
          <w:lang w:eastAsia="zh-CN"/>
        </w:rPr>
      </w:pPr>
    </w:p>
    <w:p w14:paraId="29BDB675">
      <w:pPr>
        <w:pStyle w:val="2"/>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3"/>
      </w:pPr>
      <w:r>
        <w:rPr>
          <w:rFonts w:hint="eastAsia"/>
        </w:rPr>
        <w:t>响应文件封面格式：</w:t>
      </w:r>
    </w:p>
    <w:p w14:paraId="0FD05A37">
      <w:pPr>
        <w:rPr>
          <w:lang w:eastAsia="zh-CN"/>
        </w:rPr>
      </w:pPr>
    </w:p>
    <w:p w14:paraId="3CED18BE">
      <w:pPr>
        <w:pStyle w:val="20"/>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20"/>
        <w:jc w:val="center"/>
        <w:rPr>
          <w:rFonts w:ascii="黑体" w:hAnsi="黑体" w:eastAsia="黑体"/>
          <w:sz w:val="21"/>
          <w:szCs w:val="21"/>
          <w:lang w:eastAsia="zh-CN"/>
        </w:rPr>
      </w:pPr>
    </w:p>
    <w:p w14:paraId="706DEA41">
      <w:pPr>
        <w:pStyle w:val="20"/>
        <w:jc w:val="center"/>
        <w:rPr>
          <w:rFonts w:ascii="黑体" w:hAnsi="黑体" w:eastAsia="黑体"/>
          <w:sz w:val="21"/>
          <w:szCs w:val="21"/>
          <w:lang w:eastAsia="zh-CN"/>
        </w:rPr>
      </w:pPr>
    </w:p>
    <w:p w14:paraId="25732153">
      <w:pPr>
        <w:pStyle w:val="20"/>
        <w:jc w:val="center"/>
        <w:rPr>
          <w:rFonts w:ascii="黑体" w:hAnsi="黑体" w:eastAsia="黑体"/>
          <w:sz w:val="21"/>
          <w:szCs w:val="21"/>
          <w:lang w:eastAsia="zh-CN"/>
        </w:rPr>
      </w:pPr>
    </w:p>
    <w:p w14:paraId="75901E39">
      <w:pPr>
        <w:pStyle w:val="20"/>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20"/>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20"/>
        <w:jc w:val="center"/>
        <w:rPr>
          <w:rFonts w:ascii="黑体" w:hAnsi="黑体" w:eastAsia="黑体"/>
          <w:sz w:val="21"/>
          <w:szCs w:val="21"/>
          <w:lang w:eastAsia="zh-CN"/>
        </w:rPr>
      </w:pPr>
    </w:p>
    <w:p w14:paraId="47799CA3">
      <w:pPr>
        <w:pStyle w:val="20"/>
        <w:jc w:val="center"/>
        <w:rPr>
          <w:rFonts w:ascii="黑体" w:hAnsi="黑体" w:eastAsia="黑体"/>
          <w:sz w:val="21"/>
          <w:szCs w:val="21"/>
          <w:lang w:eastAsia="zh-CN"/>
        </w:rPr>
      </w:pPr>
    </w:p>
    <w:p w14:paraId="779AF684">
      <w:pPr>
        <w:pStyle w:val="20"/>
        <w:jc w:val="center"/>
        <w:rPr>
          <w:rFonts w:ascii="黑体" w:hAnsi="黑体" w:eastAsia="黑体"/>
          <w:sz w:val="21"/>
          <w:szCs w:val="21"/>
          <w:lang w:eastAsia="zh-CN"/>
        </w:rPr>
      </w:pPr>
    </w:p>
    <w:p w14:paraId="1EE9B0FE">
      <w:pPr>
        <w:pStyle w:val="20"/>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20"/>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20"/>
        <w:jc w:val="center"/>
        <w:rPr>
          <w:rFonts w:ascii="黑体" w:hAnsi="黑体" w:eastAsia="黑体"/>
          <w:sz w:val="32"/>
          <w:szCs w:val="32"/>
          <w:lang w:eastAsia="zh-CN"/>
        </w:rPr>
      </w:pPr>
    </w:p>
    <w:p w14:paraId="7C926450">
      <w:pPr>
        <w:pStyle w:val="20"/>
        <w:jc w:val="center"/>
        <w:rPr>
          <w:rFonts w:ascii="黑体" w:hAnsi="黑体" w:eastAsia="黑体"/>
          <w:sz w:val="32"/>
          <w:szCs w:val="32"/>
          <w:lang w:eastAsia="zh-CN"/>
        </w:rPr>
      </w:pPr>
    </w:p>
    <w:p w14:paraId="294C0FF2">
      <w:pPr>
        <w:pStyle w:val="20"/>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20"/>
        <w:jc w:val="center"/>
        <w:rPr>
          <w:rFonts w:ascii="黑体" w:hAnsi="黑体" w:eastAsia="黑体"/>
          <w:sz w:val="32"/>
          <w:szCs w:val="32"/>
          <w:lang w:eastAsia="zh-CN"/>
        </w:rPr>
      </w:pPr>
    </w:p>
    <w:p w14:paraId="530C717A">
      <w:pPr>
        <w:pStyle w:val="20"/>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3"/>
      </w:pPr>
      <w:r>
        <w:rPr>
          <w:rFonts w:hint="eastAsia"/>
        </w:rPr>
        <w:t>响应文件目录格式:</w:t>
      </w:r>
    </w:p>
    <w:p w14:paraId="2FFEF421">
      <w:pPr>
        <w:pStyle w:val="8"/>
        <w:spacing w:before="9"/>
        <w:rPr>
          <w:b/>
          <w:sz w:val="8"/>
          <w:lang w:eastAsia="zh-CN"/>
        </w:rPr>
      </w:pPr>
    </w:p>
    <w:p w14:paraId="4CECB45E">
      <w:pPr>
        <w:pStyle w:val="20"/>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20"/>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20"/>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20"/>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20"/>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20"/>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20"/>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20"/>
        <w:rPr>
          <w:lang w:eastAsia="zh-CN"/>
        </w:rPr>
      </w:pPr>
    </w:p>
    <w:p w14:paraId="1CAD32A3">
      <w:pPr>
        <w:pStyle w:val="20"/>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3"/>
      </w:pPr>
      <w:r>
        <w:rPr>
          <w:rFonts w:hint="eastAsia"/>
        </w:rPr>
        <w:t>响应文件正文格式：</w:t>
      </w:r>
    </w:p>
    <w:p w14:paraId="3421D701">
      <w:pPr>
        <w:pStyle w:val="8"/>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8"/>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8"/>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8"/>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一、我方完全理解并接受该项目询价通知书的所有要求。</w:t>
      </w:r>
    </w:p>
    <w:p w14:paraId="1B95D980">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四、我方同意提供贵方要求的与询价有关的任何数据和资料。</w:t>
      </w:r>
    </w:p>
    <w:p w14:paraId="2B762D62">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五、我方将按照询价通知书、响应文件等要求，签订并严格执行政府采购合同。</w:t>
      </w:r>
    </w:p>
    <w:p w14:paraId="7EF34ED3">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九、若我方成交，愿意按有关规定及询价通知书要求缴纳代理服务费。若采购人支付代理服务费，则此条不适用。</w:t>
      </w:r>
    </w:p>
    <w:p w14:paraId="58978BD9">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8"/>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8"/>
        <w:spacing w:line="300" w:lineRule="exact"/>
        <w:ind w:left="11007" w:leftChars="172" w:hanging="10629" w:hangingChars="4429"/>
        <w:jc w:val="both"/>
        <w:rPr>
          <w:rFonts w:ascii="仿宋" w:hAnsi="仿宋" w:eastAsia="仿宋" w:cs="仿宋_GB2312"/>
          <w:sz w:val="24"/>
          <w:szCs w:val="24"/>
          <w:lang w:eastAsia="zh-CN"/>
        </w:rPr>
      </w:pPr>
    </w:p>
    <w:p w14:paraId="144F6466">
      <w:pPr>
        <w:pStyle w:val="8"/>
        <w:spacing w:before="1" w:line="300" w:lineRule="exact"/>
        <w:jc w:val="both"/>
        <w:rPr>
          <w:rFonts w:ascii="仿宋" w:hAnsi="仿宋" w:eastAsia="仿宋"/>
          <w:sz w:val="24"/>
          <w:szCs w:val="24"/>
          <w:lang w:eastAsia="zh-CN"/>
        </w:rPr>
      </w:pPr>
    </w:p>
    <w:p w14:paraId="54642201">
      <w:pPr>
        <w:pStyle w:val="8"/>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3"/>
      </w:pPr>
      <w:r>
        <w:rPr>
          <w:rFonts w:hint="eastAsia"/>
        </w:rPr>
        <w:t>报价一览表</w:t>
      </w:r>
    </w:p>
    <w:p w14:paraId="47130756">
      <w:pPr>
        <w:pStyle w:val="8"/>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8"/>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8"/>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8"/>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8"/>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2"/>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9"/>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9"/>
              <w:rPr>
                <w:rFonts w:ascii="仿宋_GB2312" w:hAnsi="仿宋_GB2312" w:eastAsia="仿宋_GB2312" w:cs="仿宋_GB2312"/>
                <w:sz w:val="24"/>
                <w:szCs w:val="24"/>
              </w:rPr>
            </w:pPr>
          </w:p>
        </w:tc>
        <w:tc>
          <w:tcPr>
            <w:tcW w:w="1563" w:type="dxa"/>
          </w:tcPr>
          <w:p w14:paraId="159DF557">
            <w:pPr>
              <w:pStyle w:val="19"/>
              <w:rPr>
                <w:rFonts w:ascii="仿宋_GB2312" w:hAnsi="仿宋_GB2312" w:eastAsia="仿宋_GB2312" w:cs="仿宋_GB2312"/>
                <w:sz w:val="24"/>
                <w:szCs w:val="24"/>
              </w:rPr>
            </w:pPr>
          </w:p>
        </w:tc>
        <w:tc>
          <w:tcPr>
            <w:tcW w:w="1637" w:type="dxa"/>
          </w:tcPr>
          <w:p w14:paraId="52C724BF">
            <w:pPr>
              <w:pStyle w:val="19"/>
              <w:rPr>
                <w:rFonts w:ascii="仿宋_GB2312" w:hAnsi="仿宋_GB2312" w:eastAsia="仿宋_GB2312" w:cs="仿宋_GB2312"/>
                <w:sz w:val="24"/>
                <w:szCs w:val="24"/>
              </w:rPr>
            </w:pPr>
          </w:p>
        </w:tc>
        <w:tc>
          <w:tcPr>
            <w:tcW w:w="2086" w:type="dxa"/>
          </w:tcPr>
          <w:p w14:paraId="26F71EF8">
            <w:pPr>
              <w:pStyle w:val="19"/>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9"/>
              <w:rPr>
                <w:rFonts w:ascii="仿宋_GB2312" w:hAnsi="仿宋_GB2312" w:eastAsia="仿宋_GB2312" w:cs="仿宋_GB2312"/>
                <w:sz w:val="24"/>
                <w:szCs w:val="24"/>
              </w:rPr>
            </w:pPr>
          </w:p>
        </w:tc>
        <w:tc>
          <w:tcPr>
            <w:tcW w:w="1563" w:type="dxa"/>
          </w:tcPr>
          <w:p w14:paraId="30E76054">
            <w:pPr>
              <w:pStyle w:val="19"/>
              <w:rPr>
                <w:rFonts w:ascii="仿宋_GB2312" w:hAnsi="仿宋_GB2312" w:eastAsia="仿宋_GB2312" w:cs="仿宋_GB2312"/>
                <w:sz w:val="24"/>
                <w:szCs w:val="24"/>
              </w:rPr>
            </w:pPr>
          </w:p>
        </w:tc>
        <w:tc>
          <w:tcPr>
            <w:tcW w:w="1637" w:type="dxa"/>
          </w:tcPr>
          <w:p w14:paraId="748F07C9">
            <w:pPr>
              <w:pStyle w:val="19"/>
              <w:rPr>
                <w:rFonts w:ascii="仿宋_GB2312" w:hAnsi="仿宋_GB2312" w:eastAsia="仿宋_GB2312" w:cs="仿宋_GB2312"/>
                <w:sz w:val="24"/>
                <w:szCs w:val="24"/>
              </w:rPr>
            </w:pPr>
          </w:p>
        </w:tc>
        <w:tc>
          <w:tcPr>
            <w:tcW w:w="2086" w:type="dxa"/>
          </w:tcPr>
          <w:p w14:paraId="4F23E196">
            <w:pPr>
              <w:pStyle w:val="19"/>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9"/>
              <w:rPr>
                <w:rFonts w:ascii="仿宋_GB2312" w:hAnsi="仿宋_GB2312" w:eastAsia="仿宋_GB2312" w:cs="仿宋_GB2312"/>
                <w:sz w:val="24"/>
                <w:szCs w:val="24"/>
              </w:rPr>
            </w:pPr>
          </w:p>
        </w:tc>
        <w:tc>
          <w:tcPr>
            <w:tcW w:w="1563" w:type="dxa"/>
          </w:tcPr>
          <w:p w14:paraId="7EC6F1EF">
            <w:pPr>
              <w:pStyle w:val="19"/>
              <w:rPr>
                <w:rFonts w:ascii="仿宋_GB2312" w:hAnsi="仿宋_GB2312" w:eastAsia="仿宋_GB2312" w:cs="仿宋_GB2312"/>
                <w:sz w:val="24"/>
                <w:szCs w:val="24"/>
              </w:rPr>
            </w:pPr>
          </w:p>
        </w:tc>
        <w:tc>
          <w:tcPr>
            <w:tcW w:w="1637" w:type="dxa"/>
          </w:tcPr>
          <w:p w14:paraId="07B0EE31">
            <w:pPr>
              <w:pStyle w:val="19"/>
              <w:rPr>
                <w:rFonts w:ascii="仿宋_GB2312" w:hAnsi="仿宋_GB2312" w:eastAsia="仿宋_GB2312" w:cs="仿宋_GB2312"/>
                <w:sz w:val="24"/>
                <w:szCs w:val="24"/>
              </w:rPr>
            </w:pPr>
          </w:p>
        </w:tc>
        <w:tc>
          <w:tcPr>
            <w:tcW w:w="2086" w:type="dxa"/>
          </w:tcPr>
          <w:p w14:paraId="29CAEB1C">
            <w:pPr>
              <w:pStyle w:val="19"/>
              <w:rPr>
                <w:rFonts w:ascii="仿宋_GB2312" w:hAnsi="仿宋_GB2312" w:eastAsia="仿宋_GB2312" w:cs="仿宋_GB2312"/>
                <w:sz w:val="24"/>
                <w:szCs w:val="24"/>
              </w:rPr>
            </w:pPr>
          </w:p>
        </w:tc>
      </w:tr>
    </w:tbl>
    <w:p w14:paraId="58CE9607">
      <w:pPr>
        <w:pStyle w:val="8"/>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8"/>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8"/>
        <w:spacing w:before="7"/>
        <w:rPr>
          <w:sz w:val="18"/>
        </w:rPr>
      </w:pPr>
    </w:p>
    <w:p w14:paraId="535933A5">
      <w:pPr>
        <w:pStyle w:val="8"/>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3"/>
      </w:pPr>
      <w:r>
        <w:rPr>
          <w:rFonts w:hint="eastAsia"/>
        </w:rPr>
        <w:t>分项报价表</w:t>
      </w:r>
    </w:p>
    <w:p w14:paraId="3109D245">
      <w:pPr>
        <w:pStyle w:val="8"/>
        <w:spacing w:before="4" w:line="300" w:lineRule="exact"/>
        <w:rPr>
          <w:rFonts w:ascii="仿宋_GB2312" w:hAnsi="仿宋_GB2312" w:eastAsia="仿宋_GB2312" w:cs="仿宋_GB2312"/>
          <w:sz w:val="24"/>
          <w:szCs w:val="24"/>
        </w:rPr>
      </w:pPr>
    </w:p>
    <w:p w14:paraId="1C2255F6">
      <w:pPr>
        <w:pStyle w:val="8"/>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8"/>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8"/>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8"/>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8"/>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8"/>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8"/>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2"/>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9"/>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9"/>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9"/>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9"/>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9"/>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9"/>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9"/>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9"/>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9"/>
              <w:spacing w:line="300" w:lineRule="exact"/>
              <w:rPr>
                <w:rFonts w:ascii="仿宋_GB2312" w:hAnsi="仿宋_GB2312" w:eastAsia="仿宋_GB2312" w:cs="仿宋_GB2312"/>
                <w:sz w:val="24"/>
                <w:szCs w:val="24"/>
              </w:rPr>
            </w:pPr>
          </w:p>
        </w:tc>
        <w:tc>
          <w:tcPr>
            <w:tcW w:w="1380" w:type="dxa"/>
          </w:tcPr>
          <w:p w14:paraId="1FC8FD93">
            <w:pPr>
              <w:pStyle w:val="19"/>
              <w:spacing w:line="300" w:lineRule="exact"/>
              <w:rPr>
                <w:rFonts w:ascii="仿宋_GB2312" w:hAnsi="仿宋_GB2312" w:eastAsia="仿宋_GB2312" w:cs="仿宋_GB2312"/>
                <w:sz w:val="24"/>
                <w:szCs w:val="24"/>
              </w:rPr>
            </w:pPr>
          </w:p>
        </w:tc>
        <w:tc>
          <w:tcPr>
            <w:tcW w:w="828" w:type="dxa"/>
          </w:tcPr>
          <w:p w14:paraId="025A8856">
            <w:pPr>
              <w:pStyle w:val="19"/>
              <w:spacing w:line="300" w:lineRule="exact"/>
              <w:rPr>
                <w:rFonts w:ascii="仿宋_GB2312" w:hAnsi="仿宋_GB2312" w:eastAsia="仿宋_GB2312" w:cs="仿宋_GB2312"/>
                <w:sz w:val="24"/>
                <w:szCs w:val="24"/>
              </w:rPr>
            </w:pPr>
          </w:p>
        </w:tc>
        <w:tc>
          <w:tcPr>
            <w:tcW w:w="840" w:type="dxa"/>
          </w:tcPr>
          <w:p w14:paraId="799B2F0E">
            <w:pPr>
              <w:pStyle w:val="19"/>
              <w:spacing w:line="300" w:lineRule="exact"/>
              <w:rPr>
                <w:rFonts w:ascii="仿宋_GB2312" w:hAnsi="仿宋_GB2312" w:eastAsia="仿宋_GB2312" w:cs="仿宋_GB2312"/>
                <w:sz w:val="24"/>
                <w:szCs w:val="24"/>
              </w:rPr>
            </w:pPr>
          </w:p>
        </w:tc>
        <w:tc>
          <w:tcPr>
            <w:tcW w:w="1568" w:type="dxa"/>
          </w:tcPr>
          <w:p w14:paraId="0BC62937">
            <w:pPr>
              <w:pStyle w:val="19"/>
              <w:spacing w:line="300" w:lineRule="exact"/>
              <w:rPr>
                <w:rFonts w:ascii="仿宋_GB2312" w:hAnsi="仿宋_GB2312" w:eastAsia="仿宋_GB2312" w:cs="仿宋_GB2312"/>
                <w:sz w:val="24"/>
                <w:szCs w:val="24"/>
              </w:rPr>
            </w:pPr>
          </w:p>
        </w:tc>
        <w:tc>
          <w:tcPr>
            <w:tcW w:w="654" w:type="dxa"/>
          </w:tcPr>
          <w:p w14:paraId="19A6DAEE">
            <w:pPr>
              <w:pStyle w:val="19"/>
              <w:spacing w:line="300" w:lineRule="exact"/>
              <w:rPr>
                <w:rFonts w:ascii="仿宋_GB2312" w:hAnsi="仿宋_GB2312" w:eastAsia="仿宋_GB2312" w:cs="仿宋_GB2312"/>
                <w:sz w:val="24"/>
                <w:szCs w:val="24"/>
              </w:rPr>
            </w:pPr>
          </w:p>
        </w:tc>
        <w:tc>
          <w:tcPr>
            <w:tcW w:w="696" w:type="dxa"/>
          </w:tcPr>
          <w:p w14:paraId="48D7B6A1">
            <w:pPr>
              <w:pStyle w:val="19"/>
              <w:spacing w:line="300" w:lineRule="exact"/>
              <w:rPr>
                <w:rFonts w:ascii="仿宋_GB2312" w:hAnsi="仿宋_GB2312" w:eastAsia="仿宋_GB2312" w:cs="仿宋_GB2312"/>
                <w:sz w:val="24"/>
                <w:szCs w:val="24"/>
              </w:rPr>
            </w:pPr>
          </w:p>
        </w:tc>
        <w:tc>
          <w:tcPr>
            <w:tcW w:w="804" w:type="dxa"/>
          </w:tcPr>
          <w:p w14:paraId="11AD193D">
            <w:pPr>
              <w:pStyle w:val="19"/>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9"/>
              <w:spacing w:line="300" w:lineRule="exact"/>
              <w:rPr>
                <w:rFonts w:ascii="仿宋_GB2312" w:hAnsi="仿宋_GB2312" w:eastAsia="仿宋_GB2312" w:cs="仿宋_GB2312"/>
                <w:sz w:val="24"/>
                <w:szCs w:val="24"/>
              </w:rPr>
            </w:pPr>
          </w:p>
        </w:tc>
        <w:tc>
          <w:tcPr>
            <w:tcW w:w="1380" w:type="dxa"/>
          </w:tcPr>
          <w:p w14:paraId="03059A28">
            <w:pPr>
              <w:pStyle w:val="19"/>
              <w:spacing w:line="300" w:lineRule="exact"/>
              <w:rPr>
                <w:rFonts w:ascii="仿宋_GB2312" w:hAnsi="仿宋_GB2312" w:eastAsia="仿宋_GB2312" w:cs="仿宋_GB2312"/>
                <w:sz w:val="24"/>
                <w:szCs w:val="24"/>
              </w:rPr>
            </w:pPr>
          </w:p>
        </w:tc>
        <w:tc>
          <w:tcPr>
            <w:tcW w:w="828" w:type="dxa"/>
          </w:tcPr>
          <w:p w14:paraId="0B620E00">
            <w:pPr>
              <w:pStyle w:val="19"/>
              <w:spacing w:line="300" w:lineRule="exact"/>
              <w:rPr>
                <w:rFonts w:ascii="仿宋_GB2312" w:hAnsi="仿宋_GB2312" w:eastAsia="仿宋_GB2312" w:cs="仿宋_GB2312"/>
                <w:sz w:val="24"/>
                <w:szCs w:val="24"/>
              </w:rPr>
            </w:pPr>
          </w:p>
        </w:tc>
        <w:tc>
          <w:tcPr>
            <w:tcW w:w="840" w:type="dxa"/>
          </w:tcPr>
          <w:p w14:paraId="72982192">
            <w:pPr>
              <w:pStyle w:val="19"/>
              <w:spacing w:line="300" w:lineRule="exact"/>
              <w:rPr>
                <w:rFonts w:ascii="仿宋_GB2312" w:hAnsi="仿宋_GB2312" w:eastAsia="仿宋_GB2312" w:cs="仿宋_GB2312"/>
                <w:sz w:val="24"/>
                <w:szCs w:val="24"/>
              </w:rPr>
            </w:pPr>
          </w:p>
        </w:tc>
        <w:tc>
          <w:tcPr>
            <w:tcW w:w="1568" w:type="dxa"/>
          </w:tcPr>
          <w:p w14:paraId="641E01B0">
            <w:pPr>
              <w:pStyle w:val="19"/>
              <w:spacing w:line="300" w:lineRule="exact"/>
              <w:rPr>
                <w:rFonts w:ascii="仿宋_GB2312" w:hAnsi="仿宋_GB2312" w:eastAsia="仿宋_GB2312" w:cs="仿宋_GB2312"/>
                <w:sz w:val="24"/>
                <w:szCs w:val="24"/>
              </w:rPr>
            </w:pPr>
          </w:p>
        </w:tc>
        <w:tc>
          <w:tcPr>
            <w:tcW w:w="654" w:type="dxa"/>
          </w:tcPr>
          <w:p w14:paraId="6BD4D133">
            <w:pPr>
              <w:pStyle w:val="19"/>
              <w:spacing w:line="300" w:lineRule="exact"/>
              <w:rPr>
                <w:rFonts w:ascii="仿宋_GB2312" w:hAnsi="仿宋_GB2312" w:eastAsia="仿宋_GB2312" w:cs="仿宋_GB2312"/>
                <w:sz w:val="24"/>
                <w:szCs w:val="24"/>
              </w:rPr>
            </w:pPr>
          </w:p>
        </w:tc>
        <w:tc>
          <w:tcPr>
            <w:tcW w:w="696" w:type="dxa"/>
          </w:tcPr>
          <w:p w14:paraId="469F9519">
            <w:pPr>
              <w:pStyle w:val="19"/>
              <w:spacing w:line="300" w:lineRule="exact"/>
              <w:rPr>
                <w:rFonts w:ascii="仿宋_GB2312" w:hAnsi="仿宋_GB2312" w:eastAsia="仿宋_GB2312" w:cs="仿宋_GB2312"/>
                <w:sz w:val="24"/>
                <w:szCs w:val="24"/>
              </w:rPr>
            </w:pPr>
          </w:p>
        </w:tc>
        <w:tc>
          <w:tcPr>
            <w:tcW w:w="804" w:type="dxa"/>
          </w:tcPr>
          <w:p w14:paraId="7D71D432">
            <w:pPr>
              <w:pStyle w:val="19"/>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9"/>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9"/>
              <w:spacing w:line="300" w:lineRule="exact"/>
              <w:rPr>
                <w:rFonts w:ascii="仿宋_GB2312" w:hAnsi="仿宋_GB2312" w:eastAsia="仿宋_GB2312" w:cs="仿宋_GB2312"/>
                <w:sz w:val="24"/>
                <w:szCs w:val="24"/>
              </w:rPr>
            </w:pPr>
          </w:p>
        </w:tc>
        <w:tc>
          <w:tcPr>
            <w:tcW w:w="1380" w:type="dxa"/>
          </w:tcPr>
          <w:p w14:paraId="66477B4D">
            <w:pPr>
              <w:pStyle w:val="19"/>
              <w:spacing w:line="300" w:lineRule="exact"/>
              <w:rPr>
                <w:rFonts w:ascii="仿宋_GB2312" w:hAnsi="仿宋_GB2312" w:eastAsia="仿宋_GB2312" w:cs="仿宋_GB2312"/>
                <w:sz w:val="24"/>
                <w:szCs w:val="24"/>
              </w:rPr>
            </w:pPr>
          </w:p>
        </w:tc>
        <w:tc>
          <w:tcPr>
            <w:tcW w:w="828" w:type="dxa"/>
          </w:tcPr>
          <w:p w14:paraId="5158C50E">
            <w:pPr>
              <w:pStyle w:val="19"/>
              <w:spacing w:line="300" w:lineRule="exact"/>
              <w:rPr>
                <w:rFonts w:ascii="仿宋_GB2312" w:hAnsi="仿宋_GB2312" w:eastAsia="仿宋_GB2312" w:cs="仿宋_GB2312"/>
                <w:sz w:val="24"/>
                <w:szCs w:val="24"/>
              </w:rPr>
            </w:pPr>
          </w:p>
        </w:tc>
        <w:tc>
          <w:tcPr>
            <w:tcW w:w="840" w:type="dxa"/>
          </w:tcPr>
          <w:p w14:paraId="0269D024">
            <w:pPr>
              <w:pStyle w:val="19"/>
              <w:spacing w:line="300" w:lineRule="exact"/>
              <w:rPr>
                <w:rFonts w:ascii="仿宋_GB2312" w:hAnsi="仿宋_GB2312" w:eastAsia="仿宋_GB2312" w:cs="仿宋_GB2312"/>
                <w:sz w:val="24"/>
                <w:szCs w:val="24"/>
              </w:rPr>
            </w:pPr>
          </w:p>
        </w:tc>
        <w:tc>
          <w:tcPr>
            <w:tcW w:w="1568" w:type="dxa"/>
          </w:tcPr>
          <w:p w14:paraId="358DAFEF">
            <w:pPr>
              <w:pStyle w:val="19"/>
              <w:spacing w:line="300" w:lineRule="exact"/>
              <w:rPr>
                <w:rFonts w:ascii="仿宋_GB2312" w:hAnsi="仿宋_GB2312" w:eastAsia="仿宋_GB2312" w:cs="仿宋_GB2312"/>
                <w:sz w:val="24"/>
                <w:szCs w:val="24"/>
              </w:rPr>
            </w:pPr>
          </w:p>
        </w:tc>
        <w:tc>
          <w:tcPr>
            <w:tcW w:w="654" w:type="dxa"/>
          </w:tcPr>
          <w:p w14:paraId="567386B4">
            <w:pPr>
              <w:pStyle w:val="19"/>
              <w:spacing w:line="300" w:lineRule="exact"/>
              <w:rPr>
                <w:rFonts w:ascii="仿宋_GB2312" w:hAnsi="仿宋_GB2312" w:eastAsia="仿宋_GB2312" w:cs="仿宋_GB2312"/>
                <w:sz w:val="24"/>
                <w:szCs w:val="24"/>
              </w:rPr>
            </w:pPr>
          </w:p>
        </w:tc>
        <w:tc>
          <w:tcPr>
            <w:tcW w:w="696" w:type="dxa"/>
          </w:tcPr>
          <w:p w14:paraId="7D0AE1B9">
            <w:pPr>
              <w:pStyle w:val="19"/>
              <w:spacing w:line="300" w:lineRule="exact"/>
              <w:rPr>
                <w:rFonts w:ascii="仿宋_GB2312" w:hAnsi="仿宋_GB2312" w:eastAsia="仿宋_GB2312" w:cs="仿宋_GB2312"/>
                <w:sz w:val="24"/>
                <w:szCs w:val="24"/>
              </w:rPr>
            </w:pPr>
          </w:p>
        </w:tc>
        <w:tc>
          <w:tcPr>
            <w:tcW w:w="804" w:type="dxa"/>
          </w:tcPr>
          <w:p w14:paraId="0F48DAF3">
            <w:pPr>
              <w:pStyle w:val="19"/>
              <w:spacing w:line="300" w:lineRule="exact"/>
              <w:rPr>
                <w:rFonts w:ascii="仿宋_GB2312" w:hAnsi="仿宋_GB2312" w:eastAsia="仿宋_GB2312" w:cs="仿宋_GB2312"/>
                <w:sz w:val="24"/>
                <w:szCs w:val="24"/>
              </w:rPr>
            </w:pPr>
          </w:p>
        </w:tc>
      </w:tr>
    </w:tbl>
    <w:p w14:paraId="787047E1">
      <w:pPr>
        <w:pStyle w:val="8"/>
        <w:spacing w:before="12" w:line="300" w:lineRule="exact"/>
        <w:rPr>
          <w:rFonts w:ascii="仿宋_GB2312" w:hAnsi="仿宋_GB2312" w:eastAsia="仿宋_GB2312" w:cs="仿宋_GB2312"/>
          <w:sz w:val="24"/>
          <w:szCs w:val="24"/>
        </w:rPr>
      </w:pPr>
    </w:p>
    <w:p w14:paraId="79384CA5">
      <w:pPr>
        <w:pStyle w:val="8"/>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8"/>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8"/>
        <w:spacing w:before="7"/>
        <w:rPr>
          <w:rFonts w:ascii="仿宋_GB2312" w:hAnsi="仿宋_GB2312" w:eastAsia="仿宋_GB2312" w:cs="仿宋_GB2312"/>
          <w:sz w:val="24"/>
          <w:szCs w:val="24"/>
        </w:rPr>
      </w:pPr>
    </w:p>
    <w:p w14:paraId="24233F0F">
      <w:pPr>
        <w:pStyle w:val="8"/>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3"/>
      </w:pPr>
      <w:r>
        <w:rPr>
          <w:rFonts w:hint="eastAsia"/>
        </w:rPr>
        <w:t>（以下格式文件由供应商根据需要选用）</w:t>
      </w:r>
    </w:p>
    <w:p w14:paraId="6F5F656D">
      <w:pPr>
        <w:pStyle w:val="23"/>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8"/>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名义签署、澄清确认、递交、撤回、修改询价项目响应文件、签订合同和处理有关事宜，其法律后果由我方承担。委托期限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8"/>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8"/>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8"/>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8"/>
        <w:spacing w:before="9" w:line="300" w:lineRule="exact"/>
        <w:rPr>
          <w:rFonts w:ascii="仿宋_GB2312" w:hAnsi="仿宋_GB2312" w:eastAsia="仿宋_GB2312" w:cs="仿宋_GB2312"/>
          <w:sz w:val="24"/>
          <w:szCs w:val="24"/>
          <w:lang w:eastAsia="zh-CN"/>
        </w:rPr>
      </w:pPr>
    </w:p>
    <w:tbl>
      <w:tblPr>
        <w:tblStyle w:val="12"/>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9"/>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8"/>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8"/>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8"/>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3"/>
      </w:pPr>
      <w:r>
        <w:rPr>
          <w:rFonts w:hint="eastAsia"/>
        </w:rPr>
        <w:t>（以下格式文件由供应商根据需要选用）</w:t>
      </w:r>
    </w:p>
    <w:p w14:paraId="6BE626A6">
      <w:pPr>
        <w:pStyle w:val="8"/>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2"/>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9"/>
              <w:rPr>
                <w:rFonts w:ascii="仿宋_GB2312" w:hAnsi="仿宋_GB2312" w:eastAsia="仿宋_GB2312" w:cs="仿宋_GB2312"/>
                <w:sz w:val="24"/>
                <w:szCs w:val="24"/>
              </w:rPr>
            </w:pPr>
          </w:p>
        </w:tc>
        <w:tc>
          <w:tcPr>
            <w:tcW w:w="1404" w:type="dxa"/>
            <w:vAlign w:val="center"/>
          </w:tcPr>
          <w:p w14:paraId="19FC6300">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9"/>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9"/>
              <w:rPr>
                <w:rFonts w:ascii="仿宋_GB2312" w:hAnsi="仿宋_GB2312" w:eastAsia="仿宋_GB2312" w:cs="仿宋_GB2312"/>
                <w:sz w:val="24"/>
                <w:szCs w:val="24"/>
              </w:rPr>
            </w:pPr>
          </w:p>
        </w:tc>
        <w:tc>
          <w:tcPr>
            <w:tcW w:w="1404" w:type="dxa"/>
            <w:vAlign w:val="center"/>
          </w:tcPr>
          <w:p w14:paraId="085D6FE7">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9"/>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9"/>
              <w:rPr>
                <w:rFonts w:ascii="仿宋_GB2312" w:hAnsi="仿宋_GB2312" w:eastAsia="仿宋_GB2312" w:cs="仿宋_GB2312"/>
                <w:sz w:val="24"/>
                <w:szCs w:val="24"/>
              </w:rPr>
            </w:pPr>
          </w:p>
        </w:tc>
        <w:tc>
          <w:tcPr>
            <w:tcW w:w="1404" w:type="dxa"/>
            <w:vAlign w:val="center"/>
          </w:tcPr>
          <w:p w14:paraId="56E8DF5F">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9"/>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9"/>
              <w:rPr>
                <w:rFonts w:ascii="仿宋_GB2312" w:hAnsi="仿宋_GB2312" w:eastAsia="仿宋_GB2312" w:cs="仿宋_GB2312"/>
                <w:sz w:val="24"/>
                <w:szCs w:val="24"/>
              </w:rPr>
            </w:pPr>
          </w:p>
        </w:tc>
        <w:tc>
          <w:tcPr>
            <w:tcW w:w="1404" w:type="dxa"/>
            <w:vAlign w:val="center"/>
          </w:tcPr>
          <w:p w14:paraId="6F3E7FB7">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9"/>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9"/>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9"/>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8"/>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8"/>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8"/>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8"/>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8"/>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8"/>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8"/>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8"/>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8"/>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3"/>
      </w:pPr>
      <w:r>
        <w:rPr>
          <w:rFonts w:hint="eastAsia"/>
        </w:rPr>
        <w:t>（（以下格式文件由供应商根据需要选用）</w:t>
      </w:r>
    </w:p>
    <w:p w14:paraId="154F91C8">
      <w:pPr>
        <w:pStyle w:val="8"/>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8"/>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8"/>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8"/>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8"/>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8"/>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8"/>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8"/>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8"/>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3"/>
      </w:pPr>
      <w:r>
        <w:rPr>
          <w:rFonts w:hint="eastAsia"/>
        </w:rPr>
        <w:t>（以下格式文件由供应商根据需要选用）</w:t>
      </w:r>
    </w:p>
    <w:p w14:paraId="33EB2062">
      <w:pPr>
        <w:pStyle w:val="8"/>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8"/>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3"/>
      </w:pPr>
      <w:r>
        <w:rPr>
          <w:rFonts w:hint="eastAsia"/>
        </w:rPr>
        <w:t>（以下格式文件由供应商根据需要选用）</w:t>
      </w:r>
    </w:p>
    <w:p w14:paraId="04A027DA">
      <w:pPr>
        <w:pStyle w:val="8"/>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8"/>
        <w:ind w:firstLine="480" w:firstLineChars="200"/>
        <w:jc w:val="both"/>
        <w:rPr>
          <w:rFonts w:ascii="仿宋_GB2312" w:hAnsi="仿宋_GB2312" w:eastAsia="仿宋_GB2312" w:cs="仿宋_GB2312"/>
          <w:sz w:val="24"/>
          <w:szCs w:val="24"/>
          <w:lang w:eastAsia="zh-CN"/>
        </w:rPr>
      </w:pPr>
    </w:p>
    <w:p w14:paraId="3AEF1039">
      <w:pPr>
        <w:pStyle w:val="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8"/>
        <w:ind w:firstLine="480" w:firstLineChars="200"/>
        <w:jc w:val="both"/>
        <w:rPr>
          <w:rFonts w:ascii="仿宋_GB2312" w:hAnsi="仿宋_GB2312" w:eastAsia="仿宋_GB2312" w:cs="仿宋_GB2312"/>
          <w:sz w:val="24"/>
          <w:szCs w:val="24"/>
          <w:lang w:eastAsia="zh-CN"/>
        </w:rPr>
      </w:pPr>
    </w:p>
    <w:p w14:paraId="4C33EB3A">
      <w:pPr>
        <w:pStyle w:val="8"/>
        <w:ind w:firstLine="480" w:firstLineChars="200"/>
        <w:jc w:val="both"/>
        <w:rPr>
          <w:rFonts w:ascii="仿宋_GB2312" w:hAnsi="仿宋_GB2312" w:eastAsia="仿宋_GB2312" w:cs="仿宋_GB2312"/>
          <w:sz w:val="24"/>
          <w:szCs w:val="24"/>
          <w:lang w:eastAsia="zh-CN"/>
        </w:rPr>
      </w:pPr>
    </w:p>
    <w:p w14:paraId="02168F5E">
      <w:pPr>
        <w:pStyle w:val="8"/>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8"/>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8"/>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8"/>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询价通知书的所有主要商务条款要求，包括标的提供的时间、标的提供的地点、付款方式、验收要求、履约保证金等。若有不符合或未按承诺履行的，承担相应法律后果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如有优于询价通知书主要商务要求的请在此承诺书中说明。具体优于内容 （如标的提供的时间、地点，质保期等） 。</w:t>
      </w:r>
    </w:p>
    <w:p w14:paraId="68FD522F">
      <w:pPr>
        <w:pStyle w:val="8"/>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8"/>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8"/>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8"/>
        <w:spacing w:before="2"/>
        <w:rPr>
          <w:rFonts w:ascii="仿宋_GB2312" w:hAnsi="仿宋_GB2312" w:eastAsia="仿宋_GB2312" w:cs="仿宋_GB2312"/>
          <w:b/>
          <w:sz w:val="24"/>
          <w:szCs w:val="24"/>
        </w:rPr>
      </w:pPr>
    </w:p>
    <w:tbl>
      <w:tblPr>
        <w:tblStyle w:val="12"/>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9"/>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9"/>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9"/>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9"/>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9"/>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9"/>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9"/>
              <w:rPr>
                <w:rFonts w:ascii="仿宋_GB2312" w:hAnsi="仿宋_GB2312" w:eastAsia="仿宋_GB2312" w:cs="仿宋_GB2312"/>
                <w:b/>
                <w:sz w:val="24"/>
                <w:szCs w:val="24"/>
              </w:rPr>
            </w:pPr>
          </w:p>
          <w:p w14:paraId="14524979">
            <w:pPr>
              <w:pStyle w:val="19"/>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9"/>
              <w:rPr>
                <w:rFonts w:ascii="仿宋_GB2312" w:hAnsi="仿宋_GB2312" w:eastAsia="仿宋_GB2312" w:cs="仿宋_GB2312"/>
                <w:sz w:val="24"/>
                <w:szCs w:val="24"/>
              </w:rPr>
            </w:pPr>
          </w:p>
        </w:tc>
        <w:tc>
          <w:tcPr>
            <w:tcW w:w="1288" w:type="dxa"/>
          </w:tcPr>
          <w:p w14:paraId="32DE80DF">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9"/>
              <w:rPr>
                <w:rFonts w:ascii="仿宋_GB2312" w:hAnsi="仿宋_GB2312" w:eastAsia="仿宋_GB2312" w:cs="仿宋_GB2312"/>
                <w:sz w:val="24"/>
                <w:szCs w:val="24"/>
              </w:rPr>
            </w:pPr>
          </w:p>
        </w:tc>
        <w:tc>
          <w:tcPr>
            <w:tcW w:w="1078" w:type="dxa"/>
          </w:tcPr>
          <w:p w14:paraId="3DFF2601">
            <w:pPr>
              <w:pStyle w:val="19"/>
              <w:rPr>
                <w:rFonts w:ascii="仿宋_GB2312" w:hAnsi="仿宋_GB2312" w:eastAsia="仿宋_GB2312" w:cs="仿宋_GB2312"/>
                <w:sz w:val="24"/>
                <w:szCs w:val="24"/>
              </w:rPr>
            </w:pPr>
          </w:p>
        </w:tc>
        <w:tc>
          <w:tcPr>
            <w:tcW w:w="791" w:type="dxa"/>
          </w:tcPr>
          <w:p w14:paraId="2816916F">
            <w:pPr>
              <w:pStyle w:val="19"/>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9"/>
              <w:rPr>
                <w:rFonts w:ascii="仿宋_GB2312" w:hAnsi="仿宋_GB2312" w:eastAsia="仿宋_GB2312" w:cs="仿宋_GB2312"/>
                <w:sz w:val="24"/>
                <w:szCs w:val="24"/>
              </w:rPr>
            </w:pPr>
          </w:p>
        </w:tc>
        <w:tc>
          <w:tcPr>
            <w:tcW w:w="1324" w:type="dxa"/>
          </w:tcPr>
          <w:p w14:paraId="3C36EB42">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9"/>
              <w:rPr>
                <w:rFonts w:ascii="仿宋_GB2312" w:hAnsi="仿宋_GB2312" w:eastAsia="仿宋_GB2312" w:cs="仿宋_GB2312"/>
                <w:sz w:val="24"/>
                <w:szCs w:val="24"/>
              </w:rPr>
            </w:pPr>
          </w:p>
        </w:tc>
        <w:tc>
          <w:tcPr>
            <w:tcW w:w="1078" w:type="dxa"/>
          </w:tcPr>
          <w:p w14:paraId="3F64AA72">
            <w:pPr>
              <w:pStyle w:val="19"/>
              <w:rPr>
                <w:rFonts w:ascii="仿宋_GB2312" w:hAnsi="仿宋_GB2312" w:eastAsia="仿宋_GB2312" w:cs="仿宋_GB2312"/>
                <w:sz w:val="24"/>
                <w:szCs w:val="24"/>
              </w:rPr>
            </w:pPr>
          </w:p>
        </w:tc>
        <w:tc>
          <w:tcPr>
            <w:tcW w:w="791" w:type="dxa"/>
          </w:tcPr>
          <w:p w14:paraId="10E7A90A">
            <w:pPr>
              <w:pStyle w:val="19"/>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9"/>
              <w:rPr>
                <w:rFonts w:ascii="仿宋_GB2312" w:hAnsi="仿宋_GB2312" w:eastAsia="仿宋_GB2312" w:cs="仿宋_GB2312"/>
                <w:sz w:val="24"/>
                <w:szCs w:val="24"/>
              </w:rPr>
            </w:pPr>
          </w:p>
        </w:tc>
        <w:tc>
          <w:tcPr>
            <w:tcW w:w="1324" w:type="dxa"/>
          </w:tcPr>
          <w:p w14:paraId="1DD415FD">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9"/>
              <w:rPr>
                <w:rFonts w:ascii="仿宋_GB2312" w:hAnsi="仿宋_GB2312" w:eastAsia="仿宋_GB2312" w:cs="仿宋_GB2312"/>
                <w:sz w:val="24"/>
                <w:szCs w:val="24"/>
              </w:rPr>
            </w:pPr>
          </w:p>
        </w:tc>
        <w:tc>
          <w:tcPr>
            <w:tcW w:w="1078" w:type="dxa"/>
          </w:tcPr>
          <w:p w14:paraId="3375F23A">
            <w:pPr>
              <w:pStyle w:val="19"/>
              <w:rPr>
                <w:rFonts w:ascii="仿宋_GB2312" w:hAnsi="仿宋_GB2312" w:eastAsia="仿宋_GB2312" w:cs="仿宋_GB2312"/>
                <w:sz w:val="24"/>
                <w:szCs w:val="24"/>
              </w:rPr>
            </w:pPr>
          </w:p>
        </w:tc>
        <w:tc>
          <w:tcPr>
            <w:tcW w:w="791" w:type="dxa"/>
          </w:tcPr>
          <w:p w14:paraId="37D40BE3">
            <w:pPr>
              <w:pStyle w:val="19"/>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9"/>
              <w:rPr>
                <w:rFonts w:ascii="仿宋_GB2312" w:hAnsi="仿宋_GB2312" w:eastAsia="仿宋_GB2312" w:cs="仿宋_GB2312"/>
                <w:b/>
                <w:sz w:val="24"/>
                <w:szCs w:val="24"/>
              </w:rPr>
            </w:pPr>
          </w:p>
          <w:p w14:paraId="22F7CF45">
            <w:pPr>
              <w:pStyle w:val="19"/>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9"/>
              <w:rPr>
                <w:rFonts w:ascii="仿宋_GB2312" w:hAnsi="仿宋_GB2312" w:eastAsia="仿宋_GB2312" w:cs="仿宋_GB2312"/>
                <w:sz w:val="24"/>
                <w:szCs w:val="24"/>
              </w:rPr>
            </w:pPr>
          </w:p>
        </w:tc>
        <w:tc>
          <w:tcPr>
            <w:tcW w:w="1288" w:type="dxa"/>
          </w:tcPr>
          <w:p w14:paraId="0B88E5F6">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9"/>
              <w:rPr>
                <w:rFonts w:ascii="仿宋_GB2312" w:hAnsi="仿宋_GB2312" w:eastAsia="仿宋_GB2312" w:cs="仿宋_GB2312"/>
                <w:sz w:val="24"/>
                <w:szCs w:val="24"/>
              </w:rPr>
            </w:pPr>
          </w:p>
        </w:tc>
        <w:tc>
          <w:tcPr>
            <w:tcW w:w="1078" w:type="dxa"/>
          </w:tcPr>
          <w:p w14:paraId="139DFFA6">
            <w:pPr>
              <w:pStyle w:val="19"/>
              <w:rPr>
                <w:rFonts w:ascii="仿宋_GB2312" w:hAnsi="仿宋_GB2312" w:eastAsia="仿宋_GB2312" w:cs="仿宋_GB2312"/>
                <w:sz w:val="24"/>
                <w:szCs w:val="24"/>
              </w:rPr>
            </w:pPr>
          </w:p>
        </w:tc>
        <w:tc>
          <w:tcPr>
            <w:tcW w:w="791" w:type="dxa"/>
          </w:tcPr>
          <w:p w14:paraId="50AE4CE4">
            <w:pPr>
              <w:pStyle w:val="19"/>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9"/>
              <w:rPr>
                <w:rFonts w:ascii="仿宋_GB2312" w:hAnsi="仿宋_GB2312" w:eastAsia="仿宋_GB2312" w:cs="仿宋_GB2312"/>
                <w:sz w:val="24"/>
                <w:szCs w:val="24"/>
              </w:rPr>
            </w:pPr>
          </w:p>
        </w:tc>
        <w:tc>
          <w:tcPr>
            <w:tcW w:w="1324" w:type="dxa"/>
          </w:tcPr>
          <w:p w14:paraId="75ABB45B">
            <w:pPr>
              <w:pStyle w:val="19"/>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9"/>
              <w:rPr>
                <w:rFonts w:ascii="仿宋_GB2312" w:hAnsi="仿宋_GB2312" w:eastAsia="仿宋_GB2312" w:cs="仿宋_GB2312"/>
                <w:sz w:val="24"/>
                <w:szCs w:val="24"/>
              </w:rPr>
            </w:pPr>
          </w:p>
        </w:tc>
        <w:tc>
          <w:tcPr>
            <w:tcW w:w="1078" w:type="dxa"/>
          </w:tcPr>
          <w:p w14:paraId="00031671">
            <w:pPr>
              <w:pStyle w:val="19"/>
              <w:rPr>
                <w:rFonts w:ascii="仿宋_GB2312" w:hAnsi="仿宋_GB2312" w:eastAsia="仿宋_GB2312" w:cs="仿宋_GB2312"/>
                <w:sz w:val="24"/>
                <w:szCs w:val="24"/>
              </w:rPr>
            </w:pPr>
          </w:p>
        </w:tc>
        <w:tc>
          <w:tcPr>
            <w:tcW w:w="791" w:type="dxa"/>
          </w:tcPr>
          <w:p w14:paraId="71A9107F">
            <w:pPr>
              <w:pStyle w:val="19"/>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9"/>
              <w:rPr>
                <w:rFonts w:ascii="仿宋_GB2312" w:hAnsi="仿宋_GB2312" w:eastAsia="仿宋_GB2312" w:cs="仿宋_GB2312"/>
                <w:sz w:val="24"/>
                <w:szCs w:val="24"/>
              </w:rPr>
            </w:pPr>
          </w:p>
        </w:tc>
        <w:tc>
          <w:tcPr>
            <w:tcW w:w="1324" w:type="dxa"/>
            <w:tcBorders>
              <w:bottom w:val="single" w:color="000000" w:sz="12" w:space="0"/>
            </w:tcBorders>
          </w:tcPr>
          <w:p w14:paraId="775D1762">
            <w:pPr>
              <w:pStyle w:val="19"/>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9"/>
              <w:rPr>
                <w:rFonts w:ascii="仿宋_GB2312" w:hAnsi="仿宋_GB2312" w:eastAsia="仿宋_GB2312" w:cs="仿宋_GB2312"/>
                <w:sz w:val="24"/>
                <w:szCs w:val="24"/>
              </w:rPr>
            </w:pPr>
          </w:p>
        </w:tc>
        <w:tc>
          <w:tcPr>
            <w:tcW w:w="1078" w:type="dxa"/>
            <w:tcBorders>
              <w:bottom w:val="single" w:color="000000" w:sz="12" w:space="0"/>
            </w:tcBorders>
          </w:tcPr>
          <w:p w14:paraId="1012FD5D">
            <w:pPr>
              <w:pStyle w:val="19"/>
              <w:rPr>
                <w:rFonts w:ascii="仿宋_GB2312" w:hAnsi="仿宋_GB2312" w:eastAsia="仿宋_GB2312" w:cs="仿宋_GB2312"/>
                <w:sz w:val="24"/>
                <w:szCs w:val="24"/>
              </w:rPr>
            </w:pPr>
          </w:p>
        </w:tc>
        <w:tc>
          <w:tcPr>
            <w:tcW w:w="791" w:type="dxa"/>
            <w:tcBorders>
              <w:bottom w:val="single" w:color="000000" w:sz="12" w:space="0"/>
            </w:tcBorders>
          </w:tcPr>
          <w:p w14:paraId="3F9B2104">
            <w:pPr>
              <w:pStyle w:val="19"/>
              <w:rPr>
                <w:rFonts w:ascii="仿宋_GB2312" w:hAnsi="仿宋_GB2312" w:eastAsia="仿宋_GB2312" w:cs="仿宋_GB2312"/>
                <w:sz w:val="24"/>
                <w:szCs w:val="24"/>
              </w:rPr>
            </w:pPr>
          </w:p>
        </w:tc>
      </w:tr>
    </w:tbl>
    <w:p w14:paraId="460EA383">
      <w:pPr>
        <w:pStyle w:val="8"/>
        <w:spacing w:line="360" w:lineRule="auto"/>
        <w:ind w:firstLine="480" w:firstLineChars="200"/>
        <w:jc w:val="both"/>
        <w:rPr>
          <w:rFonts w:ascii="仿宋_GB2312" w:hAnsi="仿宋_GB2312" w:eastAsia="仿宋_GB2312" w:cs="仿宋_GB2312"/>
          <w:sz w:val="24"/>
          <w:szCs w:val="24"/>
        </w:rPr>
      </w:pPr>
    </w:p>
    <w:p w14:paraId="3B1B9D1B">
      <w:pPr>
        <w:pStyle w:val="8"/>
        <w:spacing w:line="360" w:lineRule="auto"/>
        <w:ind w:firstLine="480" w:firstLineChars="200"/>
        <w:jc w:val="both"/>
        <w:rPr>
          <w:rFonts w:ascii="仿宋_GB2312" w:hAnsi="仿宋_GB2312" w:eastAsia="仿宋_GB2312" w:cs="仿宋_GB2312"/>
          <w:sz w:val="24"/>
          <w:szCs w:val="24"/>
        </w:rPr>
      </w:pPr>
    </w:p>
    <w:p w14:paraId="441CD250">
      <w:pPr>
        <w:pStyle w:val="8"/>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栏应详细列明询价通知书中的技术要求。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栏填写供应商对询价通知书提出的技术要求作出的明确响应，并列明具体响应数值或内容，只注明“符合”“相应”“满足”等字样无具体相应数值或实质具体内容表述的，将视为未实质性满足文件要求。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3"/>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3"/>
      </w:pPr>
      <w:r>
        <w:rPr>
          <w:rFonts w:hint="eastAsia"/>
        </w:rPr>
        <w:t>（以下格式文件由供应商根据需要选用）</w:t>
      </w:r>
    </w:p>
    <w:p w14:paraId="552DA4B1">
      <w:pPr>
        <w:pStyle w:val="8"/>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8"/>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8"/>
        <w:spacing w:before="2"/>
        <w:rPr>
          <w:rFonts w:ascii="仿宋_GB2312" w:hAnsi="仿宋_GB2312" w:eastAsia="仿宋_GB2312" w:cs="仿宋_GB2312"/>
          <w:b/>
          <w:sz w:val="24"/>
          <w:szCs w:val="24"/>
          <w:lang w:eastAsia="zh-CN"/>
        </w:rPr>
      </w:pPr>
    </w:p>
    <w:tbl>
      <w:tblPr>
        <w:tblStyle w:val="12"/>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9"/>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9"/>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9"/>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9"/>
              <w:rPr>
                <w:rFonts w:ascii="仿宋_GB2312" w:hAnsi="仿宋_GB2312" w:eastAsia="仿宋_GB2312" w:cs="仿宋_GB2312"/>
                <w:sz w:val="24"/>
                <w:szCs w:val="24"/>
              </w:rPr>
            </w:pPr>
          </w:p>
        </w:tc>
        <w:tc>
          <w:tcPr>
            <w:tcW w:w="2292" w:type="dxa"/>
          </w:tcPr>
          <w:p w14:paraId="4B5CFCE7">
            <w:pPr>
              <w:pStyle w:val="19"/>
              <w:rPr>
                <w:rFonts w:ascii="仿宋_GB2312" w:hAnsi="仿宋_GB2312" w:eastAsia="仿宋_GB2312" w:cs="仿宋_GB2312"/>
                <w:sz w:val="24"/>
                <w:szCs w:val="24"/>
              </w:rPr>
            </w:pPr>
          </w:p>
        </w:tc>
        <w:tc>
          <w:tcPr>
            <w:tcW w:w="1445" w:type="dxa"/>
          </w:tcPr>
          <w:p w14:paraId="34CCC66A">
            <w:pPr>
              <w:pStyle w:val="19"/>
              <w:rPr>
                <w:rFonts w:ascii="仿宋_GB2312" w:hAnsi="仿宋_GB2312" w:eastAsia="仿宋_GB2312" w:cs="仿宋_GB2312"/>
                <w:sz w:val="24"/>
                <w:szCs w:val="24"/>
              </w:rPr>
            </w:pPr>
          </w:p>
        </w:tc>
        <w:tc>
          <w:tcPr>
            <w:tcW w:w="1269" w:type="dxa"/>
          </w:tcPr>
          <w:p w14:paraId="2C68D77B">
            <w:pPr>
              <w:pStyle w:val="19"/>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9"/>
              <w:rPr>
                <w:rFonts w:ascii="仿宋_GB2312" w:hAnsi="仿宋_GB2312" w:eastAsia="仿宋_GB2312" w:cs="仿宋_GB2312"/>
                <w:sz w:val="24"/>
                <w:szCs w:val="24"/>
              </w:rPr>
            </w:pPr>
          </w:p>
        </w:tc>
        <w:tc>
          <w:tcPr>
            <w:tcW w:w="2292" w:type="dxa"/>
          </w:tcPr>
          <w:p w14:paraId="6A0659D8">
            <w:pPr>
              <w:pStyle w:val="19"/>
              <w:rPr>
                <w:rFonts w:ascii="仿宋_GB2312" w:hAnsi="仿宋_GB2312" w:eastAsia="仿宋_GB2312" w:cs="仿宋_GB2312"/>
                <w:sz w:val="24"/>
                <w:szCs w:val="24"/>
              </w:rPr>
            </w:pPr>
          </w:p>
        </w:tc>
        <w:tc>
          <w:tcPr>
            <w:tcW w:w="1445" w:type="dxa"/>
          </w:tcPr>
          <w:p w14:paraId="4A0376D4">
            <w:pPr>
              <w:pStyle w:val="19"/>
              <w:rPr>
                <w:rFonts w:ascii="仿宋_GB2312" w:hAnsi="仿宋_GB2312" w:eastAsia="仿宋_GB2312" w:cs="仿宋_GB2312"/>
                <w:sz w:val="24"/>
                <w:szCs w:val="24"/>
              </w:rPr>
            </w:pPr>
          </w:p>
        </w:tc>
        <w:tc>
          <w:tcPr>
            <w:tcW w:w="1269" w:type="dxa"/>
          </w:tcPr>
          <w:p w14:paraId="265EC054">
            <w:pPr>
              <w:pStyle w:val="19"/>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9"/>
              <w:rPr>
                <w:rFonts w:ascii="仿宋_GB2312" w:hAnsi="仿宋_GB2312" w:eastAsia="仿宋_GB2312" w:cs="仿宋_GB2312"/>
                <w:sz w:val="24"/>
                <w:szCs w:val="24"/>
              </w:rPr>
            </w:pPr>
          </w:p>
        </w:tc>
        <w:tc>
          <w:tcPr>
            <w:tcW w:w="2292" w:type="dxa"/>
          </w:tcPr>
          <w:p w14:paraId="47D881A4">
            <w:pPr>
              <w:pStyle w:val="19"/>
              <w:rPr>
                <w:rFonts w:ascii="仿宋_GB2312" w:hAnsi="仿宋_GB2312" w:eastAsia="仿宋_GB2312" w:cs="仿宋_GB2312"/>
                <w:sz w:val="24"/>
                <w:szCs w:val="24"/>
              </w:rPr>
            </w:pPr>
          </w:p>
        </w:tc>
        <w:tc>
          <w:tcPr>
            <w:tcW w:w="1445" w:type="dxa"/>
          </w:tcPr>
          <w:p w14:paraId="327791D6">
            <w:pPr>
              <w:pStyle w:val="19"/>
              <w:rPr>
                <w:rFonts w:ascii="仿宋_GB2312" w:hAnsi="仿宋_GB2312" w:eastAsia="仿宋_GB2312" w:cs="仿宋_GB2312"/>
                <w:sz w:val="24"/>
                <w:szCs w:val="24"/>
              </w:rPr>
            </w:pPr>
          </w:p>
        </w:tc>
        <w:tc>
          <w:tcPr>
            <w:tcW w:w="1269" w:type="dxa"/>
          </w:tcPr>
          <w:p w14:paraId="0146A872">
            <w:pPr>
              <w:pStyle w:val="19"/>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9"/>
              <w:rPr>
                <w:rFonts w:ascii="仿宋_GB2312" w:hAnsi="仿宋_GB2312" w:eastAsia="仿宋_GB2312" w:cs="仿宋_GB2312"/>
                <w:sz w:val="24"/>
                <w:szCs w:val="24"/>
              </w:rPr>
            </w:pPr>
          </w:p>
        </w:tc>
        <w:tc>
          <w:tcPr>
            <w:tcW w:w="2292" w:type="dxa"/>
          </w:tcPr>
          <w:p w14:paraId="59BA1A3F">
            <w:pPr>
              <w:pStyle w:val="19"/>
              <w:rPr>
                <w:rFonts w:ascii="仿宋_GB2312" w:hAnsi="仿宋_GB2312" w:eastAsia="仿宋_GB2312" w:cs="仿宋_GB2312"/>
                <w:sz w:val="24"/>
                <w:szCs w:val="24"/>
              </w:rPr>
            </w:pPr>
          </w:p>
        </w:tc>
        <w:tc>
          <w:tcPr>
            <w:tcW w:w="1445" w:type="dxa"/>
          </w:tcPr>
          <w:p w14:paraId="22DF089C">
            <w:pPr>
              <w:pStyle w:val="19"/>
              <w:rPr>
                <w:rFonts w:ascii="仿宋_GB2312" w:hAnsi="仿宋_GB2312" w:eastAsia="仿宋_GB2312" w:cs="仿宋_GB2312"/>
                <w:sz w:val="24"/>
                <w:szCs w:val="24"/>
              </w:rPr>
            </w:pPr>
          </w:p>
        </w:tc>
        <w:tc>
          <w:tcPr>
            <w:tcW w:w="1269" w:type="dxa"/>
          </w:tcPr>
          <w:p w14:paraId="491C7EB2">
            <w:pPr>
              <w:pStyle w:val="19"/>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9"/>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9"/>
              <w:rPr>
                <w:rFonts w:ascii="仿宋_GB2312" w:hAnsi="仿宋_GB2312" w:eastAsia="仿宋_GB2312" w:cs="仿宋_GB2312"/>
                <w:sz w:val="24"/>
                <w:szCs w:val="24"/>
              </w:rPr>
            </w:pPr>
          </w:p>
        </w:tc>
        <w:tc>
          <w:tcPr>
            <w:tcW w:w="2292" w:type="dxa"/>
          </w:tcPr>
          <w:p w14:paraId="69929B78">
            <w:pPr>
              <w:pStyle w:val="19"/>
              <w:rPr>
                <w:rFonts w:ascii="仿宋_GB2312" w:hAnsi="仿宋_GB2312" w:eastAsia="仿宋_GB2312" w:cs="仿宋_GB2312"/>
                <w:sz w:val="24"/>
                <w:szCs w:val="24"/>
              </w:rPr>
            </w:pPr>
          </w:p>
        </w:tc>
        <w:tc>
          <w:tcPr>
            <w:tcW w:w="1445" w:type="dxa"/>
          </w:tcPr>
          <w:p w14:paraId="5C6B849B">
            <w:pPr>
              <w:pStyle w:val="19"/>
              <w:rPr>
                <w:rFonts w:ascii="仿宋_GB2312" w:hAnsi="仿宋_GB2312" w:eastAsia="仿宋_GB2312" w:cs="仿宋_GB2312"/>
                <w:sz w:val="24"/>
                <w:szCs w:val="24"/>
              </w:rPr>
            </w:pPr>
          </w:p>
        </w:tc>
        <w:tc>
          <w:tcPr>
            <w:tcW w:w="1269" w:type="dxa"/>
          </w:tcPr>
          <w:p w14:paraId="550D415F">
            <w:pPr>
              <w:pStyle w:val="19"/>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3"/>
      </w:pPr>
    </w:p>
    <w:p w14:paraId="14B12D9E">
      <w:pPr>
        <w:pStyle w:val="23"/>
      </w:pPr>
    </w:p>
    <w:p w14:paraId="4D3D6DBF">
      <w:pPr>
        <w:pStyle w:val="23"/>
      </w:pPr>
    </w:p>
    <w:p w14:paraId="6893F8BC">
      <w:pPr>
        <w:pStyle w:val="23"/>
      </w:pPr>
    </w:p>
    <w:p w14:paraId="3E973BA6">
      <w:pPr>
        <w:pStyle w:val="23"/>
      </w:pPr>
      <w:r>
        <w:rPr>
          <w:rFonts w:hint="eastAsia"/>
        </w:rPr>
        <w:t>（以下格式文件由供应商根据需要选用）</w:t>
      </w:r>
    </w:p>
    <w:p w14:paraId="6146FE13">
      <w:pPr>
        <w:pStyle w:val="8"/>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8"/>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一、询价通知书要求提供的其他资料。</w:t>
      </w:r>
    </w:p>
    <w:p w14:paraId="04811BAD">
      <w:pPr>
        <w:pStyle w:val="18"/>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8"/>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8"/>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9"/>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9"/>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9"/>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10"/>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33286"/>
    <w:multiLevelType w:val="multilevel"/>
    <w:tmpl w:val="45133286"/>
    <w:lvl w:ilvl="0" w:tentative="0">
      <w:start w:val="1"/>
      <w:numFmt w:val="chineseCountingThousand"/>
      <w:suff w:val="nothing"/>
      <w:lvlText w:val="%1."/>
      <w:lvlJc w:val="left"/>
      <w:pPr>
        <w:ind w:left="0" w:firstLine="0"/>
      </w:pPr>
      <w:rPr>
        <w:rFonts w:hint="eastAsia" w:ascii="宋体" w:hAnsi="宋体" w:eastAsia="宋体"/>
        <w:b/>
        <w:i w:val="0"/>
        <w:sz w:val="36"/>
        <w:szCs w:val="21"/>
        <w:lang w:val="en-US"/>
      </w:rPr>
    </w:lvl>
    <w:lvl w:ilvl="1" w:tentative="0">
      <w:start w:val="1"/>
      <w:numFmt w:val="decimal"/>
      <w:suff w:val="nothing"/>
      <w:lvlText w:val="%2."/>
      <w:lvlJc w:val="left"/>
      <w:pPr>
        <w:ind w:left="0" w:firstLine="0"/>
      </w:pPr>
      <w:rPr>
        <w:rFonts w:hint="eastAsia" w:ascii="宋体" w:eastAsia="宋体"/>
        <w:b/>
        <w:i w:val="0"/>
        <w:sz w:val="32"/>
      </w:rPr>
    </w:lvl>
    <w:lvl w:ilvl="2" w:tentative="0">
      <w:start w:val="1"/>
      <w:numFmt w:val="decimal"/>
      <w:suff w:val="nothing"/>
      <w:lvlText w:val="%2.%3."/>
      <w:lvlJc w:val="left"/>
      <w:pPr>
        <w:ind w:left="0" w:firstLine="0"/>
      </w:pPr>
      <w:rPr>
        <w:rFonts w:hint="eastAsia" w:ascii="宋体" w:eastAsia="宋体"/>
        <w:b/>
        <w:i w:val="0"/>
        <w:sz w:val="30"/>
      </w:rPr>
    </w:lvl>
    <w:lvl w:ilvl="3" w:tentative="0">
      <w:start w:val="1"/>
      <w:numFmt w:val="decimal"/>
      <w:pStyle w:val="5"/>
      <w:suff w:val="nothing"/>
      <w:lvlText w:val="%2.%3.%4."/>
      <w:lvlJc w:val="left"/>
      <w:pPr>
        <w:ind w:left="0" w:firstLine="0"/>
      </w:pPr>
      <w:rPr>
        <w:rFonts w:hint="eastAsia" w:ascii="宋体" w:eastAsia="宋体"/>
        <w:b/>
        <w:i w:val="0"/>
        <w:sz w:val="28"/>
      </w:rPr>
    </w:lvl>
    <w:lvl w:ilvl="4" w:tentative="0">
      <w:start w:val="1"/>
      <w:numFmt w:val="decimal"/>
      <w:suff w:val="nothing"/>
      <w:lvlText w:val="%2.%3.%4.%5."/>
      <w:lvlJc w:val="left"/>
      <w:pPr>
        <w:ind w:left="0" w:firstLine="0"/>
      </w:pPr>
      <w:rPr>
        <w:rFonts w:hint="eastAsia" w:ascii="宋体" w:eastAsia="宋体"/>
        <w:b/>
        <w:i w:val="0"/>
        <w:sz w:val="24"/>
      </w:rPr>
    </w:lvl>
    <w:lvl w:ilvl="5" w:tentative="0">
      <w:start w:val="1"/>
      <w:numFmt w:val="decimal"/>
      <w:isLgl/>
      <w:suff w:val="nothing"/>
      <w:lvlText w:val="%2.%3.%4.%5.%6."/>
      <w:lvlJc w:val="left"/>
      <w:pPr>
        <w:ind w:left="0" w:firstLine="0"/>
      </w:pPr>
      <w:rPr>
        <w:rFonts w:hint="eastAsia" w:ascii="宋体" w:hAnsi="宋体" w:eastAsia="宋体" w:cs="Times New Roman"/>
        <w:b w:val="0"/>
        <w:bCs w:val="0"/>
        <w:i w:val="0"/>
        <w:iCs w:val="0"/>
        <w:caps w:val="0"/>
        <w:smallCaps w:val="0"/>
        <w:strike w:val="0"/>
        <w:dstrike w:val="0"/>
        <w:vanish w:val="0"/>
        <w:spacing w:val="0"/>
        <w:position w:val="0"/>
        <w:sz w:val="24"/>
        <w:u w:val="none"/>
        <w:vertAlign w:val="baseline"/>
      </w:rPr>
    </w:lvl>
    <w:lvl w:ilvl="6" w:tentative="0">
      <w:start w:val="1"/>
      <w:numFmt w:val="decimal"/>
      <w:lvlText w:val="（%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2">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A730540"/>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282CD8"/>
    <w:rsid w:val="23731D1E"/>
    <w:rsid w:val="23F944BF"/>
    <w:rsid w:val="24297892"/>
    <w:rsid w:val="248144B4"/>
    <w:rsid w:val="249D7540"/>
    <w:rsid w:val="256A42DD"/>
    <w:rsid w:val="2595063D"/>
    <w:rsid w:val="26061115"/>
    <w:rsid w:val="2764542A"/>
    <w:rsid w:val="28924145"/>
    <w:rsid w:val="2944442E"/>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803828"/>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860604"/>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5EC9096E"/>
    <w:rsid w:val="618C17C7"/>
    <w:rsid w:val="61F21F72"/>
    <w:rsid w:val="62287742"/>
    <w:rsid w:val="622B7232"/>
    <w:rsid w:val="62514EEA"/>
    <w:rsid w:val="62913539"/>
    <w:rsid w:val="6372336A"/>
    <w:rsid w:val="637D586B"/>
    <w:rsid w:val="63D35B5A"/>
    <w:rsid w:val="64065BD5"/>
    <w:rsid w:val="642D0689"/>
    <w:rsid w:val="652A65EF"/>
    <w:rsid w:val="654A053B"/>
    <w:rsid w:val="664663E8"/>
    <w:rsid w:val="66965B73"/>
    <w:rsid w:val="67236729"/>
    <w:rsid w:val="67315764"/>
    <w:rsid w:val="68264053"/>
    <w:rsid w:val="68CC62F2"/>
    <w:rsid w:val="68FB795E"/>
    <w:rsid w:val="691F4FA3"/>
    <w:rsid w:val="6A0E21C8"/>
    <w:rsid w:val="6A2C5F7D"/>
    <w:rsid w:val="6A9C2D8E"/>
    <w:rsid w:val="6B935FA4"/>
    <w:rsid w:val="6B9B0D87"/>
    <w:rsid w:val="6BC24763"/>
    <w:rsid w:val="6BE24E05"/>
    <w:rsid w:val="6C7B4994"/>
    <w:rsid w:val="6E927F5A"/>
    <w:rsid w:val="6EFA4AB6"/>
    <w:rsid w:val="6F7F2A05"/>
    <w:rsid w:val="712A5284"/>
    <w:rsid w:val="71B92E56"/>
    <w:rsid w:val="72436D2C"/>
    <w:rsid w:val="725C6094"/>
    <w:rsid w:val="72B82D76"/>
    <w:rsid w:val="72CB03A1"/>
    <w:rsid w:val="73335F46"/>
    <w:rsid w:val="7338355D"/>
    <w:rsid w:val="737610A6"/>
    <w:rsid w:val="73D46BDF"/>
    <w:rsid w:val="741E09A4"/>
    <w:rsid w:val="7456013E"/>
    <w:rsid w:val="75720FA8"/>
    <w:rsid w:val="758D4034"/>
    <w:rsid w:val="76437C4F"/>
    <w:rsid w:val="76472434"/>
    <w:rsid w:val="77057BFA"/>
    <w:rsid w:val="77857E26"/>
    <w:rsid w:val="794C25B3"/>
    <w:rsid w:val="79CD0E2F"/>
    <w:rsid w:val="7A3D359D"/>
    <w:rsid w:val="7A721DC3"/>
    <w:rsid w:val="7B111CB4"/>
    <w:rsid w:val="7B3E7662"/>
    <w:rsid w:val="7B763283"/>
    <w:rsid w:val="7BC77B74"/>
    <w:rsid w:val="7BF4003F"/>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32"/>
      <w:ind w:left="187" w:right="216"/>
      <w:jc w:val="center"/>
      <w:outlineLvl w:val="0"/>
    </w:pPr>
    <w:rPr>
      <w:b/>
      <w:bCs/>
      <w:sz w:val="31"/>
      <w:szCs w:val="31"/>
    </w:rPr>
  </w:style>
  <w:style w:type="paragraph" w:styleId="2">
    <w:name w:val="heading 2"/>
    <w:basedOn w:val="1"/>
    <w:next w:val="1"/>
    <w:link w:val="24"/>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paragraph" w:styleId="5">
    <w:name w:val="heading 4"/>
    <w:basedOn w:val="1"/>
    <w:next w:val="1"/>
    <w:qFormat/>
    <w:uiPriority w:val="9"/>
    <w:pPr>
      <w:keepNext/>
      <w:keepLines/>
      <w:numPr>
        <w:ilvl w:val="3"/>
        <w:numId w:val="1"/>
      </w:numPr>
      <w:spacing w:beforeLines="50" w:afterLines="50"/>
      <w:jc w:val="left"/>
      <w:outlineLvl w:val="3"/>
    </w:pPr>
    <w:rPr>
      <w:b/>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7">
    <w:name w:val="annotation text"/>
    <w:basedOn w:val="1"/>
    <w:semiHidden/>
    <w:unhideWhenUsed/>
    <w:qFormat/>
    <w:uiPriority w:val="99"/>
  </w:style>
  <w:style w:type="paragraph" w:styleId="8">
    <w:name w:val="Body Text"/>
    <w:basedOn w:val="1"/>
    <w:next w:val="1"/>
    <w:qFormat/>
    <w:uiPriority w:val="1"/>
    <w:rPr>
      <w:sz w:val="19"/>
      <w:szCs w:val="19"/>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pPr>
    <w:rPr>
      <w:rFonts w:cs="Times New Roman"/>
      <w:sz w:val="24"/>
      <w:lang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unhideWhenUsed/>
    <w:qFormat/>
    <w:uiPriority w:val="99"/>
    <w:rPr>
      <w:sz w:val="21"/>
      <w:szCs w:val="21"/>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777" w:hanging="239"/>
    </w:pPr>
  </w:style>
  <w:style w:type="paragraph" w:customStyle="1" w:styleId="19">
    <w:name w:val="Table Paragraph"/>
    <w:basedOn w:val="1"/>
    <w:qFormat/>
    <w:uiPriority w:val="1"/>
  </w:style>
  <w:style w:type="paragraph" w:customStyle="1" w:styleId="20">
    <w:name w:val="A正文①"/>
    <w:basedOn w:val="1"/>
    <w:qFormat/>
    <w:uiPriority w:val="0"/>
    <w:pPr>
      <w:snapToGrid w:val="0"/>
      <w:spacing w:line="360" w:lineRule="auto"/>
    </w:pPr>
    <w:rPr>
      <w:rFonts w:ascii="Calibri" w:hAnsi="Calibri"/>
    </w:rPr>
  </w:style>
  <w:style w:type="character" w:customStyle="1" w:styleId="21">
    <w:name w:val="fontstyle01"/>
    <w:basedOn w:val="14"/>
    <w:qFormat/>
    <w:uiPriority w:val="0"/>
    <w:rPr>
      <w:rFonts w:hint="eastAsia" w:ascii="宋体" w:hAnsi="宋体" w:eastAsia="宋体"/>
      <w:color w:val="000000"/>
      <w:sz w:val="20"/>
      <w:szCs w:val="20"/>
    </w:rPr>
  </w:style>
  <w:style w:type="paragraph" w:customStyle="1" w:styleId="22">
    <w:name w:val="p15"/>
    <w:basedOn w:val="1"/>
    <w:qFormat/>
    <w:uiPriority w:val="0"/>
    <w:pPr>
      <w:widowControl/>
      <w:spacing w:after="312"/>
      <w:ind w:left="200" w:hanging="420"/>
    </w:pPr>
    <w:rPr>
      <w:rFonts w:ascii="Calibri" w:hAnsi="Calibri"/>
      <w:szCs w:val="21"/>
    </w:rPr>
  </w:style>
  <w:style w:type="paragraph" w:customStyle="1" w:styleId="23">
    <w:name w:val="正文-样本"/>
    <w:basedOn w:val="2"/>
    <w:link w:val="25"/>
    <w:qFormat/>
    <w:uiPriority w:val="1"/>
    <w:pPr>
      <w:spacing w:line="360" w:lineRule="auto"/>
      <w:ind w:left="0"/>
      <w:jc w:val="both"/>
      <w:outlineLvl w:val="9"/>
    </w:pPr>
    <w:rPr>
      <w:rFonts w:ascii="黑体" w:hAnsi="黑体" w:eastAsia="仿宋" w:cs="黑体"/>
      <w:sz w:val="28"/>
      <w:szCs w:val="24"/>
      <w:lang w:eastAsia="zh-CN"/>
    </w:rPr>
  </w:style>
  <w:style w:type="character" w:customStyle="1" w:styleId="24">
    <w:name w:val="标题 2 字符"/>
    <w:basedOn w:val="14"/>
    <w:link w:val="2"/>
    <w:qFormat/>
    <w:uiPriority w:val="1"/>
    <w:rPr>
      <w:rFonts w:ascii="宋体" w:hAnsi="宋体" w:cs="宋体"/>
      <w:b/>
      <w:bCs/>
      <w:sz w:val="21"/>
      <w:szCs w:val="21"/>
      <w:lang w:eastAsia="en-US"/>
    </w:rPr>
  </w:style>
  <w:style w:type="character" w:customStyle="1" w:styleId="25">
    <w:name w:val="正文-样本 字符"/>
    <w:basedOn w:val="24"/>
    <w:link w:val="23"/>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35</Pages>
  <Words>10597</Words>
  <Characters>10873</Characters>
  <Lines>174</Lines>
  <Paragraphs>49</Paragraphs>
  <TotalTime>0</TotalTime>
  <ScaleCrop>false</ScaleCrop>
  <LinksUpToDate>false</LinksUpToDate>
  <CharactersWithSpaces>10927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2026-07-15T09:22:59Z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59FD515F7C18406297DD45FA3AA6FFA1_13</vt:lpwstr>
  </property>
  <property fmtid="{D5CDD505-2E9C-101B-9397-08002B2CF9AE}" pid="7" name="KSOTemplateDocerSaveRecord">
    <vt:lpwstr>eyJoZGlkIjoiZTYwMjU3ZGQ1OTY4MDFkYmI0NTViODQ3MWUxYjlhNzYiLCJ1c2VySWQiOiIzOTEyODMyMjQifQ==</vt:lpwstr>
  </property>
</Properties>
</file>