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0D47FD2">
      <w:pPr>
        <w:pStyle w:val="2"/>
        <w:numPr>
          <w:ilvl w:val="0"/>
          <w:numId w:val="0"/>
        </w:numPr>
        <w:topLinePunct w:val="0"/>
        <w:ind w:left="0" w:leftChars="0" w:firstLine="640"/>
        <w:jc w:val="center"/>
        <w:rPr>
          <w:rFonts w:hint="default" w:cs="仿宋_GB2312"/>
          <w:sz w:val="44"/>
          <w:szCs w:val="44"/>
          <w:lang w:val="en-US" w:eastAsia="zh-CN"/>
        </w:rPr>
      </w:pPr>
      <w:r>
        <w:rPr>
          <w:rFonts w:hint="eastAsia" w:cs="仿宋_GB2312"/>
          <w:sz w:val="44"/>
          <w:szCs w:val="44"/>
          <w:lang w:val="en-US" w:eastAsia="zh-CN"/>
        </w:rPr>
        <w:t>投标人须知</w:t>
      </w:r>
    </w:p>
    <w:p w14:paraId="21409C7E">
      <w:pPr>
        <w:pStyle w:val="2"/>
        <w:numPr>
          <w:ilvl w:val="0"/>
          <w:numId w:val="0"/>
        </w:numPr>
        <w:topLinePunct w:val="0"/>
        <w:ind w:left="0" w:leftChars="0" w:firstLine="640"/>
        <w:jc w:val="both"/>
        <w:rPr>
          <w:rFonts w:hint="eastAsia" w:cs="仿宋_GB2312"/>
          <w:sz w:val="32"/>
          <w:szCs w:val="32"/>
          <w:lang w:val="en-US" w:eastAsia="zh-CN"/>
        </w:rPr>
      </w:pPr>
      <w:r>
        <w:rPr>
          <w:rFonts w:hint="eastAsia" w:cs="仿宋_GB2312"/>
          <w:sz w:val="32"/>
          <w:szCs w:val="32"/>
          <w:lang w:val="en-US" w:eastAsia="zh-CN"/>
        </w:rPr>
        <w:t>一、</w:t>
      </w:r>
      <w:r>
        <w:t>可研报告编制内容及技术要求</w:t>
      </w:r>
    </w:p>
    <w:p w14:paraId="06AAFED4">
      <w:pPr>
        <w:pStyle w:val="4"/>
        <w:rPr>
          <w:rFonts w:ascii="Times New Roman" w:hAnsi="Times New Roman" w:eastAsia="仿宋_GB2312" w:cs="仿宋_GB2312"/>
          <w:sz w:val="32"/>
          <w:szCs w:val="32"/>
        </w:rPr>
      </w:pPr>
      <w:r>
        <w:rPr>
          <w:rFonts w:ascii="Times New Roman" w:hAnsi="Times New Roman" w:eastAsia="仿宋_GB2312" w:cs="仿宋_GB2312"/>
          <w:sz w:val="32"/>
          <w:szCs w:val="32"/>
        </w:rPr>
        <w:t>投标单位需按照政府立项、环保评审标准，编制完整、规范、可直接用于报批评审的可行性研究报告，报告内容完整、数据真实、论证充分、结论明确，具体包含以下核心章节：</w:t>
      </w:r>
    </w:p>
    <w:p w14:paraId="5E690311">
      <w:pPr>
        <w:pStyle w:val="3"/>
        <w:numPr>
          <w:ilvl w:val="0"/>
          <w:numId w:val="0"/>
        </w:numPr>
        <w:topLinePunct w:val="0"/>
        <w:ind w:left="0" w:leftChars="0" w:firstLine="640"/>
        <w:rPr>
          <w:rFonts w:hint="eastAsia" w:ascii="楷体_GB2312" w:hAnsi="楷体_GB2312" w:eastAsia="楷体_GB2312" w:cs="楷体_GB2312"/>
          <w:b w:val="0"/>
        </w:rPr>
      </w:pPr>
      <w:r>
        <w:rPr>
          <w:rFonts w:hint="eastAsia"/>
          <w:lang w:eastAsia="zh-CN"/>
        </w:rPr>
        <w:t>（一）</w:t>
      </w:r>
      <w:r>
        <w:t>项目总论</w:t>
      </w:r>
    </w:p>
    <w:p w14:paraId="19A76A2D">
      <w:pPr>
        <w:pStyle w:val="4"/>
        <w:rPr>
          <w:rFonts w:ascii="Times New Roman" w:hAnsi="Times New Roman" w:eastAsia="仿宋_GB2312" w:cs="仿宋_GB2312"/>
          <w:sz w:val="32"/>
          <w:szCs w:val="32"/>
        </w:rPr>
      </w:pPr>
      <w:r>
        <w:rPr>
          <w:rFonts w:ascii="Times New Roman" w:hAnsi="Times New Roman" w:eastAsia="仿宋_GB2312" w:cs="仿宋_GB2312"/>
          <w:sz w:val="32"/>
          <w:szCs w:val="32"/>
        </w:rPr>
        <w:t>包含项目基本概况、编制依据、编制原则、项目建设必要性、建设意义、总体目标、研究范围、主要结论与专家建议、主要技术经济指标汇总。</w:t>
      </w:r>
    </w:p>
    <w:p w14:paraId="67A642B7">
      <w:pPr>
        <w:pStyle w:val="3"/>
        <w:numPr>
          <w:ilvl w:val="0"/>
          <w:numId w:val="0"/>
        </w:numPr>
        <w:topLinePunct w:val="0"/>
        <w:ind w:left="0" w:leftChars="0" w:firstLine="640"/>
        <w:rPr>
          <w:rFonts w:hint="eastAsia" w:ascii="楷体_GB2312" w:hAnsi="楷体_GB2312" w:eastAsia="楷体_GB2312" w:cs="楷体_GB2312"/>
          <w:b w:val="0"/>
        </w:rPr>
      </w:pPr>
      <w:r>
        <w:rPr>
          <w:rFonts w:hint="eastAsia"/>
          <w:lang w:eastAsia="zh-CN"/>
        </w:rPr>
        <w:t>（二）</w:t>
      </w:r>
      <w:r>
        <w:t>项目现状与存在问题</w:t>
      </w:r>
    </w:p>
    <w:p w14:paraId="1CDA7B1F">
      <w:pPr>
        <w:pStyle w:val="4"/>
        <w:rPr>
          <w:rFonts w:ascii="Times New Roman" w:hAnsi="Times New Roman" w:eastAsia="仿宋_GB2312" w:cs="仿宋_GB2312"/>
          <w:sz w:val="32"/>
          <w:szCs w:val="32"/>
        </w:rPr>
      </w:pPr>
      <w:r>
        <w:rPr>
          <w:rFonts w:ascii="Times New Roman" w:hAnsi="Times New Roman" w:eastAsia="仿宋_GB2312" w:cs="仿宋_GB2312"/>
          <w:sz w:val="32"/>
          <w:szCs w:val="32"/>
        </w:rPr>
        <w:t>详细摸排医院现有污水站建设规模、处理工艺、设备配置、日处理水量、运行现状、出水水质、运维情况；精准分析现有设施短板、超标风险、运维隐患、工艺落后、处理能力不足、智能化缺失等核心问题，结合医院床位规模、就诊人次、污水峰值排放特点开展专项分析。</w:t>
      </w:r>
    </w:p>
    <w:p w14:paraId="7BC3580D">
      <w:pPr>
        <w:pStyle w:val="3"/>
        <w:numPr>
          <w:ilvl w:val="0"/>
          <w:numId w:val="0"/>
        </w:numPr>
        <w:topLinePunct w:val="0"/>
        <w:ind w:left="0" w:leftChars="0" w:firstLine="640"/>
        <w:rPr>
          <w:rFonts w:hint="eastAsia" w:ascii="楷体_GB2312" w:hAnsi="楷体_GB2312" w:eastAsia="楷体_GB2312" w:cs="楷体_GB2312"/>
          <w:b w:val="0"/>
        </w:rPr>
      </w:pPr>
      <w:r>
        <w:rPr>
          <w:rFonts w:hint="eastAsia"/>
          <w:lang w:eastAsia="zh-CN"/>
        </w:rPr>
        <w:t>（三）</w:t>
      </w:r>
      <w:r>
        <w:t>建设方案论证</w:t>
      </w:r>
    </w:p>
    <w:p w14:paraId="4C12AB4F">
      <w:pPr>
        <w:pStyle w:val="4"/>
        <w:rPr>
          <w:rFonts w:ascii="Times New Roman" w:hAnsi="Times New Roman" w:eastAsia="仿宋_GB2312" w:cs="仿宋_GB2312"/>
          <w:sz w:val="32"/>
          <w:szCs w:val="32"/>
        </w:rPr>
      </w:pPr>
      <w:r>
        <w:rPr>
          <w:rFonts w:ascii="Times New Roman" w:hAnsi="Times New Roman" w:eastAsia="仿宋_GB2312" w:cs="仿宋_GB2312"/>
          <w:sz w:val="32"/>
          <w:szCs w:val="32"/>
        </w:rPr>
        <w:t>结合医院医疗污水（含诊疗污水、生活污水、消毒废水）水质特点，需提供至少2～3种主流工艺（如A／O、MBR、MBBR等）的定量比选表（含占地、投资、运维成本、出水稳定性对比），优选适配医疗机构、运行稳定、运维简便、达标率高、运维成本低的工艺路线；明确污水站建设／改造规模、工艺流程、设备清单、构筑物建设方案、消毒系统、污泥处理系统、废气收集治理、在线监测系统、应急处理系统、智能化运维系统方案。</w:t>
      </w:r>
    </w:p>
    <w:p w14:paraId="551CA4DF">
      <w:pPr>
        <w:pStyle w:val="3"/>
        <w:numPr>
          <w:ilvl w:val="0"/>
          <w:numId w:val="0"/>
        </w:numPr>
        <w:topLinePunct w:val="0"/>
        <w:ind w:left="0" w:leftChars="0" w:firstLine="640"/>
        <w:rPr>
          <w:rFonts w:hint="eastAsia" w:ascii="楷体_GB2312" w:hAnsi="楷体_GB2312" w:eastAsia="楷体_GB2312" w:cs="楷体_GB2312"/>
          <w:b w:val="0"/>
        </w:rPr>
      </w:pPr>
      <w:r>
        <w:rPr>
          <w:rFonts w:hint="eastAsia"/>
          <w:lang w:eastAsia="zh-CN"/>
        </w:rPr>
        <w:t>（四）</w:t>
      </w:r>
      <w:r>
        <w:t>总图布置与配套工程</w:t>
      </w:r>
    </w:p>
    <w:p w14:paraId="562F96CA">
      <w:pPr>
        <w:pStyle w:val="4"/>
        <w:rPr>
          <w:rFonts w:ascii="Times New Roman" w:hAnsi="Times New Roman" w:eastAsia="仿宋_GB2312" w:cs="仿宋_GB2312"/>
          <w:sz w:val="32"/>
          <w:szCs w:val="32"/>
        </w:rPr>
      </w:pPr>
      <w:r>
        <w:rPr>
          <w:rFonts w:ascii="Times New Roman" w:hAnsi="Times New Roman" w:eastAsia="仿宋_GB2312" w:cs="仿宋_GB2312"/>
          <w:sz w:val="32"/>
          <w:szCs w:val="32"/>
        </w:rPr>
        <w:t>结合医院院区布局、用地条件、环保防护要求，编制污水站平面布置、管线改造、给排水、供电、通风、安防、降噪除臭、绿化防护等配套工程方案，确保布局合规、不影响院区正常诊疗秩序。</w:t>
      </w:r>
    </w:p>
    <w:p w14:paraId="572382A1">
      <w:pPr>
        <w:pStyle w:val="3"/>
        <w:numPr>
          <w:ilvl w:val="0"/>
          <w:numId w:val="0"/>
        </w:numPr>
        <w:topLinePunct w:val="0"/>
        <w:ind w:left="0" w:leftChars="0" w:firstLine="640"/>
        <w:rPr>
          <w:rFonts w:hint="eastAsia" w:ascii="楷体_GB2312" w:hAnsi="楷体_GB2312" w:eastAsia="楷体_GB2312" w:cs="楷体_GB2312"/>
          <w:b w:val="0"/>
        </w:rPr>
      </w:pPr>
      <w:r>
        <w:rPr>
          <w:rFonts w:hint="eastAsia"/>
          <w:lang w:eastAsia="zh-CN"/>
        </w:rPr>
        <w:t>（五）</w:t>
      </w:r>
      <w:r>
        <w:t>节能、环保、安全生产方案</w:t>
      </w:r>
    </w:p>
    <w:p w14:paraId="714CE012">
      <w:pPr>
        <w:pStyle w:val="4"/>
        <w:rPr>
          <w:rFonts w:ascii="Times New Roman" w:hAnsi="Times New Roman" w:eastAsia="仿宋_GB2312" w:cs="仿宋_GB2312"/>
          <w:sz w:val="32"/>
          <w:szCs w:val="32"/>
        </w:rPr>
      </w:pPr>
      <w:r>
        <w:rPr>
          <w:rFonts w:ascii="Times New Roman" w:hAnsi="Times New Roman" w:eastAsia="仿宋_GB2312" w:cs="仿宋_GB2312"/>
          <w:sz w:val="32"/>
          <w:szCs w:val="32"/>
        </w:rPr>
        <w:t>专项编制项目节能分析、节水措施、扬尘噪声控制、污水污泥合规处置、异味治理、安全生产保障、消防安全、职业防护等专项章节，完全满足环保评审及卫健系统安全管理要求。</w:t>
      </w:r>
    </w:p>
    <w:p w14:paraId="2842D3AE">
      <w:pPr>
        <w:pStyle w:val="3"/>
        <w:numPr>
          <w:ilvl w:val="0"/>
          <w:numId w:val="0"/>
        </w:numPr>
        <w:topLinePunct w:val="0"/>
        <w:ind w:left="0" w:leftChars="0" w:firstLine="640"/>
        <w:rPr>
          <w:rFonts w:hint="eastAsia" w:ascii="楷体_GB2312" w:hAnsi="楷体_GB2312" w:eastAsia="楷体_GB2312" w:cs="楷体_GB2312"/>
          <w:b w:val="0"/>
        </w:rPr>
      </w:pPr>
      <w:r>
        <w:rPr>
          <w:rFonts w:hint="eastAsia"/>
          <w:lang w:eastAsia="zh-CN"/>
        </w:rPr>
        <w:t>（六）</w:t>
      </w:r>
      <w:r>
        <w:t>项目实施进度与组织管理</w:t>
      </w:r>
    </w:p>
    <w:p w14:paraId="0AB92A53">
      <w:pPr>
        <w:pStyle w:val="4"/>
        <w:rPr>
          <w:rFonts w:ascii="Times New Roman" w:hAnsi="Times New Roman" w:eastAsia="仿宋_GB2312" w:cs="仿宋_GB2312"/>
          <w:sz w:val="32"/>
          <w:szCs w:val="32"/>
        </w:rPr>
      </w:pPr>
      <w:r>
        <w:rPr>
          <w:rFonts w:ascii="Times New Roman" w:hAnsi="Times New Roman" w:eastAsia="仿宋_GB2312" w:cs="仿宋_GB2312"/>
          <w:sz w:val="32"/>
          <w:szCs w:val="32"/>
        </w:rPr>
        <w:t>制定科学合理的项目建设工期、施工组织方案、实施步骤、人员配置、质量管控、进度管控方案，规避施工期间对医院正常运营的影响。</w:t>
      </w:r>
    </w:p>
    <w:p w14:paraId="31CD4603">
      <w:pPr>
        <w:pStyle w:val="3"/>
        <w:keepNext w:val="0"/>
        <w:keepLines w:val="0"/>
        <w:pageBreakBefore w:val="0"/>
        <w:widowControl/>
        <w:numPr>
          <w:ilvl w:val="0"/>
          <w:numId w:val="0"/>
        </w:numPr>
        <w:kinsoku/>
        <w:wordWrap/>
        <w:overflowPunct/>
        <w:topLinePunct w:val="0"/>
        <w:autoSpaceDE/>
        <w:autoSpaceDN/>
        <w:bidi w:val="0"/>
        <w:adjustRightInd/>
        <w:snapToGrid/>
        <w:ind w:left="0" w:leftChars="0" w:firstLine="640"/>
        <w:textAlignment w:val="auto"/>
        <w:rPr>
          <w:rFonts w:hint="eastAsia" w:ascii="楷体_GB2312" w:hAnsi="楷体_GB2312" w:eastAsia="楷体_GB2312" w:cs="楷体_GB2312"/>
          <w:b w:val="0"/>
        </w:rPr>
      </w:pPr>
      <w:r>
        <w:rPr>
          <w:rFonts w:hint="eastAsia"/>
          <w:lang w:eastAsia="zh-CN"/>
        </w:rPr>
        <w:t>（七）</w:t>
      </w:r>
      <w:r>
        <w:t>投资估算与资金筹措</w:t>
      </w:r>
    </w:p>
    <w:p w14:paraId="7BA9FFD0">
      <w:pPr>
        <w:pStyle w:val="4"/>
        <w:keepNext w:val="0"/>
        <w:keepLines w:val="0"/>
        <w:pageBreakBefore w:val="0"/>
        <w:widowControl/>
        <w:kinsoku/>
        <w:wordWrap/>
        <w:overflowPunct/>
        <w:topLinePunct w:val="0"/>
        <w:autoSpaceDE/>
        <w:autoSpaceDN/>
        <w:bidi w:val="0"/>
        <w:adjustRightInd/>
        <w:snapToGrid/>
        <w:textAlignment w:val="auto"/>
        <w:rPr>
          <w:rFonts w:ascii="Times New Roman" w:hAnsi="Times New Roman" w:eastAsia="仿宋_GB2312" w:cs="仿宋_GB2312"/>
          <w:sz w:val="32"/>
          <w:szCs w:val="32"/>
        </w:rPr>
      </w:pPr>
      <w:r>
        <w:rPr>
          <w:rFonts w:ascii="Times New Roman" w:hAnsi="Times New Roman" w:eastAsia="仿宋_GB2312" w:cs="仿宋_GB2312"/>
          <w:sz w:val="32"/>
          <w:szCs w:val="32"/>
        </w:rPr>
        <w:t>精准完成项目工程费用、设备购置费用、安装费用、其他费用、预备费等全口径投资估算，编制详细估算明细表，明确资金筹措方案、资金使用计划，数据真实可查、有据可依。</w:t>
      </w:r>
    </w:p>
    <w:p w14:paraId="6B32005A">
      <w:pPr>
        <w:pStyle w:val="3"/>
        <w:keepNext w:val="0"/>
        <w:keepLines w:val="0"/>
        <w:pageBreakBefore w:val="0"/>
        <w:widowControl/>
        <w:numPr>
          <w:ilvl w:val="0"/>
          <w:numId w:val="0"/>
        </w:numPr>
        <w:kinsoku/>
        <w:wordWrap/>
        <w:overflowPunct/>
        <w:topLinePunct w:val="0"/>
        <w:autoSpaceDE/>
        <w:autoSpaceDN/>
        <w:bidi w:val="0"/>
        <w:adjustRightInd/>
        <w:snapToGrid/>
        <w:ind w:left="0" w:leftChars="0" w:firstLine="640"/>
        <w:textAlignment w:val="auto"/>
        <w:rPr>
          <w:rFonts w:hint="eastAsia" w:ascii="楷体_GB2312" w:hAnsi="楷体_GB2312" w:eastAsia="楷体_GB2312" w:cs="楷体_GB2312"/>
          <w:b w:val="0"/>
        </w:rPr>
      </w:pPr>
      <w:r>
        <w:rPr>
          <w:rFonts w:hint="eastAsia"/>
          <w:lang w:eastAsia="zh-CN"/>
        </w:rPr>
        <w:t>（八）</w:t>
      </w:r>
      <w:r>
        <w:t>经济效益、社会效益与环境效益分析</w:t>
      </w:r>
    </w:p>
    <w:p w14:paraId="2BAFBC54">
      <w:pPr>
        <w:pStyle w:val="4"/>
        <w:keepNext w:val="0"/>
        <w:keepLines w:val="0"/>
        <w:pageBreakBefore w:val="0"/>
        <w:widowControl/>
        <w:kinsoku/>
        <w:wordWrap/>
        <w:overflowPunct/>
        <w:topLinePunct w:val="0"/>
        <w:autoSpaceDE/>
        <w:autoSpaceDN/>
        <w:bidi w:val="0"/>
        <w:adjustRightInd/>
        <w:snapToGrid/>
        <w:textAlignment w:val="auto"/>
        <w:rPr>
          <w:rFonts w:ascii="Times New Roman" w:hAnsi="Times New Roman" w:eastAsia="仿宋_GB2312" w:cs="仿宋_GB2312"/>
          <w:sz w:val="32"/>
          <w:szCs w:val="32"/>
        </w:rPr>
      </w:pPr>
      <w:r>
        <w:rPr>
          <w:rFonts w:ascii="Times New Roman" w:hAnsi="Times New Roman" w:eastAsia="仿宋_GB2312" w:cs="仿宋_GB2312"/>
          <w:sz w:val="32"/>
          <w:szCs w:val="32"/>
        </w:rPr>
        <w:t>全面分析项目实施后的环保达标效益、院区环境提升效益、合规经营效益、安全保障效益，测算运维成本、节约能耗、长效合规价值，论证项目可行性与必要性。</w:t>
      </w:r>
    </w:p>
    <w:p w14:paraId="751E71AD">
      <w:pPr>
        <w:pStyle w:val="3"/>
        <w:numPr>
          <w:ilvl w:val="0"/>
          <w:numId w:val="0"/>
        </w:numPr>
        <w:topLinePunct w:val="0"/>
        <w:ind w:left="0" w:leftChars="0" w:firstLine="640"/>
        <w:rPr>
          <w:rFonts w:hint="eastAsia" w:ascii="楷体_GB2312" w:hAnsi="楷体_GB2312" w:eastAsia="楷体_GB2312" w:cs="楷体_GB2312"/>
          <w:b w:val="0"/>
        </w:rPr>
      </w:pPr>
      <w:r>
        <w:rPr>
          <w:rFonts w:hint="eastAsia"/>
          <w:lang w:eastAsia="zh-CN"/>
        </w:rPr>
        <w:t>（九）</w:t>
      </w:r>
      <w:r>
        <w:t>风险分析与防控措施</w:t>
      </w:r>
    </w:p>
    <w:p w14:paraId="5E5A7C2A">
      <w:pPr>
        <w:pStyle w:val="4"/>
        <w:rPr>
          <w:rFonts w:ascii="Times New Roman" w:hAnsi="Times New Roman" w:eastAsia="仿宋_GB2312" w:cs="仿宋_GB2312"/>
          <w:sz w:val="32"/>
          <w:szCs w:val="32"/>
        </w:rPr>
      </w:pPr>
      <w:r>
        <w:rPr>
          <w:rFonts w:ascii="Times New Roman" w:hAnsi="Times New Roman" w:eastAsia="仿宋_GB2312" w:cs="仿宋_GB2312"/>
          <w:sz w:val="32"/>
          <w:szCs w:val="32"/>
        </w:rPr>
        <w:t>针对技术风险、运维风险、环保风险、施工风险、政策风险开展全面分析，制定针对性防控、应对及整改措施。</w:t>
      </w:r>
    </w:p>
    <w:p w14:paraId="773F692C">
      <w:pPr>
        <w:pStyle w:val="3"/>
        <w:numPr>
          <w:ilvl w:val="0"/>
          <w:numId w:val="0"/>
        </w:numPr>
        <w:topLinePunct w:val="0"/>
        <w:ind w:left="0" w:leftChars="0" w:firstLine="640"/>
        <w:rPr>
          <w:rFonts w:hint="eastAsia" w:ascii="楷体_GB2312" w:hAnsi="楷体_GB2312" w:eastAsia="楷体_GB2312" w:cs="楷体_GB2312"/>
          <w:b w:val="0"/>
        </w:rPr>
      </w:pPr>
      <w:r>
        <w:rPr>
          <w:rFonts w:hint="eastAsia"/>
          <w:lang w:eastAsia="zh-CN"/>
        </w:rPr>
        <w:t>（十）</w:t>
      </w:r>
      <w:r>
        <w:t>结论与建议</w:t>
      </w:r>
    </w:p>
    <w:p w14:paraId="651C1229">
      <w:pPr>
        <w:pStyle w:val="4"/>
        <w:rPr>
          <w:rFonts w:ascii="Times New Roman" w:hAnsi="Times New Roman" w:eastAsia="仿宋_GB2312" w:cs="仿宋_GB2312"/>
          <w:sz w:val="32"/>
          <w:szCs w:val="32"/>
        </w:rPr>
      </w:pPr>
      <w:r>
        <w:rPr>
          <w:rFonts w:ascii="Times New Roman" w:hAnsi="Times New Roman" w:eastAsia="仿宋_GB2312" w:cs="仿宋_GB2312"/>
          <w:sz w:val="32"/>
          <w:szCs w:val="32"/>
        </w:rPr>
        <w:t>明确项目可行性结论，提出工艺优化、运维管理、后期运维、常</w:t>
      </w:r>
      <w:r>
        <w:rPr>
          <w:rFonts w:ascii="Times New Roman" w:hAnsi="Times New Roman" w:eastAsia="仿宋_GB2312" w:cs="仿宋_GB2312"/>
          <w:spacing wpsCustomData:val="-6" w:val="0"/>
          <w:sz w:val="32"/>
          <w:szCs w:val="32"/>
        </w:rPr>
        <w:t>态化监测等方面的合理化建议，满足立项、评审、审批全</w:t>
      </w:r>
      <w:r>
        <w:rPr>
          <w:rFonts w:ascii="Times New Roman" w:hAnsi="Times New Roman" w:eastAsia="仿宋_GB2312" w:cs="仿宋_GB2312"/>
          <w:spacing wpsCustomData:val="-6" w:val="-6"/>
          <w:sz w:val="32"/>
          <w:szCs w:val="32"/>
        </w:rPr>
        <w:t>部</w:t>
      </w:r>
      <w:r>
        <w:rPr>
          <w:rFonts w:ascii="Times New Roman" w:hAnsi="Times New Roman" w:eastAsia="仿宋_GB2312" w:cs="仿宋_GB2312"/>
          <w:sz w:val="32"/>
          <w:szCs w:val="32"/>
        </w:rPr>
        <w:t>要求。</w:t>
      </w:r>
    </w:p>
    <w:p w14:paraId="38A9D788">
      <w:pPr>
        <w:pStyle w:val="3"/>
        <w:numPr>
          <w:ilvl w:val="0"/>
          <w:numId w:val="0"/>
        </w:numPr>
        <w:topLinePunct w:val="0"/>
        <w:ind w:left="0" w:leftChars="0" w:firstLine="640"/>
        <w:rPr>
          <w:rFonts w:hint="eastAsia" w:ascii="楷体_GB2312" w:hAnsi="楷体_GB2312" w:eastAsia="楷体_GB2312" w:cs="楷体_GB2312"/>
          <w:b w:val="0"/>
        </w:rPr>
      </w:pPr>
      <w:r>
        <w:rPr>
          <w:rFonts w:hint="eastAsia"/>
          <w:lang w:eastAsia="zh-CN"/>
        </w:rPr>
        <w:t>（十一）</w:t>
      </w:r>
      <w:r>
        <w:t>附件资料</w:t>
      </w:r>
    </w:p>
    <w:p w14:paraId="3CDE328B">
      <w:pPr>
        <w:pStyle w:val="4"/>
        <w:rPr>
          <w:rFonts w:ascii="Times New Roman" w:hAnsi="Times New Roman" w:eastAsia="仿宋_GB2312" w:cs="仿宋_GB2312"/>
          <w:sz w:val="32"/>
          <w:szCs w:val="32"/>
        </w:rPr>
      </w:pPr>
      <w:r>
        <w:rPr>
          <w:rFonts w:ascii="Times New Roman" w:hAnsi="Times New Roman" w:eastAsia="仿宋_GB2312" w:cs="仿宋_GB2312"/>
          <w:sz w:val="32"/>
          <w:szCs w:val="32"/>
        </w:rPr>
        <w:t>包含现场现状图、规划示意图、设备方案图、相关标准依据、测算表格、资质文件、调研资料等全套附件。</w:t>
      </w:r>
    </w:p>
    <w:p w14:paraId="58C4CA5E">
      <w:pPr>
        <w:pStyle w:val="2"/>
        <w:numPr>
          <w:ilvl w:val="0"/>
          <w:numId w:val="0"/>
        </w:numPr>
        <w:topLinePunct w:val="0"/>
        <w:ind w:left="0" w:leftChars="0" w:firstLine="640"/>
        <w:rPr>
          <w:b w:val="0"/>
        </w:rPr>
      </w:pPr>
      <w:r>
        <w:rPr>
          <w:rFonts w:hint="eastAsia"/>
          <w:lang w:val="en-US" w:eastAsia="zh-CN"/>
        </w:rPr>
        <w:t>二</w:t>
      </w:r>
      <w:r>
        <w:rPr>
          <w:rFonts w:hint="eastAsia"/>
          <w:lang w:eastAsia="zh-CN"/>
        </w:rPr>
        <w:t>、</w:t>
      </w:r>
      <w:r>
        <w:t>服务工作要求</w:t>
      </w:r>
    </w:p>
    <w:p w14:paraId="743D5153">
      <w:pPr>
        <w:pStyle w:val="4"/>
        <w:numPr>
          <w:ilvl w:val="0"/>
          <w:numId w:val="0"/>
        </w:numPr>
        <w:topLinePunct w:val="0"/>
        <w:ind w:left="0" w:leftChars="0" w:firstLine="616"/>
        <w:rPr>
          <w:rFonts w:ascii="Times New Roman" w:hAnsi="Times New Roman" w:eastAsia="仿宋_GB2312" w:cs="仿宋_GB2312"/>
          <w:b w:val="0"/>
          <w:sz w:val="32"/>
          <w:szCs w:val="32"/>
        </w:rPr>
      </w:pPr>
      <w:r>
        <w:rPr>
          <w:rStyle w:val="9"/>
          <w:rFonts w:hint="eastAsia" w:eastAsia="楷体_GB2312"/>
          <w:lang w:eastAsia="zh-CN"/>
        </w:rPr>
        <w:t>（一）</w:t>
      </w:r>
      <w:r>
        <w:rPr>
          <w:rStyle w:val="9"/>
        </w:rPr>
        <w:t>现场踏勘要求</w:t>
      </w:r>
      <w:r>
        <w:rPr>
          <w:rFonts w:ascii="Times New Roman" w:hAnsi="Times New Roman" w:eastAsia="仿宋_GB2312" w:cs="仿宋_GB2312"/>
          <w:sz w:val="32"/>
          <w:szCs w:val="32"/>
        </w:rPr>
        <w:t>：中标单位必须安排专业技术人员多次进场踏勘，精准核实院区污水排放现状、管网走向、现有设备参数、场地条件，严禁脱离实际套用模板编制报告。</w:t>
      </w:r>
    </w:p>
    <w:p w14:paraId="027C2AC2">
      <w:pPr>
        <w:pStyle w:val="4"/>
        <w:numPr>
          <w:ilvl w:val="0"/>
          <w:numId w:val="0"/>
        </w:numPr>
        <w:topLinePunct w:val="0"/>
        <w:ind w:left="0" w:leftChars="0" w:firstLine="616"/>
        <w:rPr>
          <w:rFonts w:ascii="Times New Roman" w:hAnsi="Times New Roman" w:eastAsia="仿宋_GB2312" w:cs="仿宋_GB2312"/>
          <w:b w:val="0"/>
          <w:sz w:val="32"/>
          <w:szCs w:val="32"/>
        </w:rPr>
      </w:pPr>
      <w:r>
        <w:rPr>
          <w:rStyle w:val="9"/>
          <w:rFonts w:hint="eastAsia" w:eastAsia="楷体_GB2312"/>
          <w:lang w:eastAsia="zh-CN"/>
        </w:rPr>
        <w:t>（二）</w:t>
      </w:r>
      <w:r>
        <w:rPr>
          <w:rStyle w:val="9"/>
        </w:rPr>
        <w:t>成果质量要求</w:t>
      </w:r>
      <w:r>
        <w:rPr>
          <w:rFonts w:ascii="Times New Roman" w:hAnsi="Times New Roman" w:eastAsia="仿宋_GB2312" w:cs="仿宋_GB2312"/>
          <w:sz w:val="32"/>
          <w:szCs w:val="32"/>
        </w:rPr>
        <w:t>：报告内容完整、逻辑严谨、数据准确、格式规范，完全符合发改委、生态环境局、卫健部门评审标准，确保通过专家评审，免费根据主管部门及专家评审意见修改，直至取得可研批复（或主管部门认可文件）为止。</w:t>
      </w:r>
    </w:p>
    <w:p w14:paraId="379FC58C">
      <w:pPr>
        <w:pStyle w:val="4"/>
        <w:numPr>
          <w:ilvl w:val="0"/>
          <w:numId w:val="0"/>
        </w:numPr>
        <w:topLinePunct w:val="0"/>
        <w:ind w:left="0" w:leftChars="0" w:firstLine="616"/>
        <w:rPr>
          <w:rFonts w:ascii="Times New Roman" w:hAnsi="Times New Roman" w:eastAsia="仿宋_GB2312" w:cs="仿宋_GB2312"/>
          <w:b w:val="0"/>
          <w:sz w:val="32"/>
          <w:szCs w:val="32"/>
        </w:rPr>
      </w:pPr>
      <w:r>
        <w:rPr>
          <w:rStyle w:val="9"/>
          <w:rFonts w:hint="eastAsia" w:eastAsia="楷体_GB2312"/>
          <w:lang w:eastAsia="zh-CN"/>
        </w:rPr>
        <w:t>（三）</w:t>
      </w:r>
      <w:r>
        <w:rPr>
          <w:rStyle w:val="9"/>
        </w:rPr>
        <w:t>全程配合服务</w:t>
      </w:r>
      <w:r>
        <w:rPr>
          <w:rFonts w:ascii="Times New Roman" w:hAnsi="Times New Roman" w:eastAsia="仿宋_GB2312" w:cs="仿宋_GB2312"/>
          <w:sz w:val="32"/>
          <w:szCs w:val="32"/>
        </w:rPr>
        <w:t>：全程配合采购人完成项目立项申报、专家评审答疑、资料报送、主管部门核查、项目报批等所有工作，直至项目可研工作全部收尾。</w:t>
      </w:r>
    </w:p>
    <w:p w14:paraId="5841F8B2">
      <w:pPr>
        <w:pStyle w:val="4"/>
        <w:numPr>
          <w:ilvl w:val="0"/>
          <w:numId w:val="0"/>
        </w:numPr>
        <w:topLinePunct w:val="0"/>
        <w:ind w:left="0" w:leftChars="0" w:firstLine="616"/>
        <w:rPr>
          <w:rFonts w:ascii="Times New Roman" w:hAnsi="Times New Roman" w:eastAsia="仿宋_GB2312" w:cs="仿宋_GB2312"/>
          <w:b w:val="0"/>
          <w:sz w:val="32"/>
          <w:szCs w:val="32"/>
        </w:rPr>
      </w:pPr>
      <w:r>
        <w:rPr>
          <w:rStyle w:val="9"/>
          <w:rFonts w:hint="eastAsia" w:eastAsia="楷体_GB2312"/>
          <w:lang w:eastAsia="zh-CN"/>
        </w:rPr>
        <w:t>（四）</w:t>
      </w:r>
      <w:r>
        <w:rPr>
          <w:rStyle w:val="9"/>
        </w:rPr>
        <w:t>保密要求</w:t>
      </w:r>
      <w:r>
        <w:rPr>
          <w:rFonts w:ascii="Times New Roman" w:hAnsi="Times New Roman" w:eastAsia="仿宋_GB2312" w:cs="仿宋_GB2312"/>
          <w:sz w:val="32"/>
          <w:szCs w:val="32"/>
        </w:rPr>
        <w:t>：投标及中标单位对医院院区布局、污水数据、诊疗规模、项目资料等涉密信息严格保密，不得外泄、不得用于其他项目，签订保密承诺书。</w:t>
      </w:r>
    </w:p>
    <w:p w14:paraId="7B7B2A2A">
      <w:pPr>
        <w:pStyle w:val="4"/>
        <w:numPr>
          <w:ilvl w:val="0"/>
          <w:numId w:val="0"/>
        </w:numPr>
        <w:topLinePunct w:val="0"/>
        <w:ind w:left="0" w:leftChars="0" w:firstLine="616"/>
        <w:rPr>
          <w:rFonts w:ascii="Times New Roman" w:hAnsi="Times New Roman" w:eastAsia="仿宋_GB2312" w:cs="仿宋_GB2312"/>
          <w:b w:val="0"/>
          <w:sz w:val="32"/>
          <w:szCs w:val="32"/>
        </w:rPr>
      </w:pPr>
      <w:r>
        <w:rPr>
          <w:rStyle w:val="9"/>
          <w:rFonts w:hint="eastAsia" w:eastAsia="楷体_GB2312"/>
          <w:lang w:eastAsia="zh-CN"/>
        </w:rPr>
        <w:t>（五）</w:t>
      </w:r>
      <w:r>
        <w:rPr>
          <w:rStyle w:val="9"/>
        </w:rPr>
        <w:t>交付成果</w:t>
      </w:r>
      <w:r>
        <w:rPr>
          <w:rFonts w:ascii="Times New Roman" w:hAnsi="Times New Roman" w:eastAsia="仿宋_GB2312" w:cs="仿宋_GB2312"/>
          <w:sz w:val="32"/>
          <w:szCs w:val="32"/>
        </w:rPr>
        <w:t>：提供纸质版报告 3套（含盖章完整版）、电子版可编辑文件全套，含所有测算底稿、图纸、资料。</w:t>
      </w:r>
    </w:p>
    <w:p w14:paraId="51471C94">
      <w:pPr>
        <w:pStyle w:val="2"/>
        <w:numPr>
          <w:ilvl w:val="0"/>
          <w:numId w:val="0"/>
        </w:numPr>
        <w:topLinePunct w:val="0"/>
        <w:ind w:left="0" w:leftChars="0" w:firstLine="640"/>
        <w:rPr>
          <w:b w:val="0"/>
        </w:rPr>
      </w:pPr>
      <w:r>
        <w:rPr>
          <w:rFonts w:hint="eastAsia"/>
          <w:lang w:val="en-US" w:eastAsia="zh-CN"/>
        </w:rPr>
        <w:t>三</w:t>
      </w:r>
      <w:r>
        <w:rPr>
          <w:rFonts w:hint="eastAsia"/>
          <w:lang w:eastAsia="zh-CN"/>
        </w:rPr>
        <w:t>、</w:t>
      </w:r>
      <w:r>
        <w:t>投标人资格要求</w:t>
      </w:r>
    </w:p>
    <w:p w14:paraId="6C7EAAFA">
      <w:pPr>
        <w:pStyle w:val="4"/>
        <w:numPr>
          <w:ilvl w:val="0"/>
          <w:numId w:val="0"/>
        </w:numPr>
        <w:topLinePunct w:val="0"/>
        <w:ind w:left="0" w:leftChars="0" w:firstLine="616"/>
        <w:rPr>
          <w:rFonts w:ascii="Times New Roman" w:hAnsi="Times New Roman" w:eastAsia="仿宋_GB2312" w:cs="仿宋_GB2312"/>
          <w:b w:val="0"/>
          <w:sz w:val="32"/>
          <w:szCs w:val="32"/>
        </w:rPr>
      </w:pPr>
      <w:r>
        <w:rPr>
          <w:rStyle w:val="9"/>
          <w:rFonts w:hint="eastAsia" w:eastAsia="楷体_GB2312"/>
          <w:lang w:eastAsia="zh-CN"/>
        </w:rPr>
        <w:t>（一）</w:t>
      </w:r>
      <w:r>
        <w:rPr>
          <w:rStyle w:val="9"/>
        </w:rPr>
        <w:t>主体资格</w:t>
      </w:r>
      <w:r>
        <w:rPr>
          <w:rFonts w:ascii="Times New Roman" w:hAnsi="Times New Roman" w:eastAsia="仿宋_GB2312" w:cs="仿宋_GB2312"/>
          <w:sz w:val="32"/>
          <w:szCs w:val="32"/>
        </w:rPr>
        <w:t>：投标人须为中国大陆境内依法注册、具有独立法人资格的企业，具备有效的营业执照，能够独立承担民事责任，不接受联合体投标、不允许转包分包。</w:t>
      </w:r>
    </w:p>
    <w:p w14:paraId="6142D528">
      <w:pPr>
        <w:pStyle w:val="4"/>
        <w:numPr>
          <w:ilvl w:val="0"/>
          <w:numId w:val="0"/>
        </w:numPr>
        <w:topLinePunct w:val="0"/>
        <w:ind w:left="0" w:leftChars="0" w:firstLine="616"/>
        <w:rPr>
          <w:rFonts w:ascii="Times New Roman" w:hAnsi="Times New Roman" w:eastAsia="仿宋_GB2312" w:cs="仿宋_GB2312"/>
          <w:b w:val="0"/>
          <w:color w:val="C00000"/>
          <w:sz w:val="32"/>
          <w:szCs w:val="32"/>
        </w:rPr>
      </w:pPr>
      <w:r>
        <w:rPr>
          <w:rStyle w:val="9"/>
          <w:rFonts w:hint="eastAsia" w:eastAsia="楷体_GB2312"/>
          <w:color w:val="C00000"/>
          <w:lang w:eastAsia="zh-CN"/>
        </w:rPr>
        <w:t>（二）</w:t>
      </w:r>
      <w:r>
        <w:rPr>
          <w:rStyle w:val="9"/>
          <w:color w:val="C00000"/>
        </w:rPr>
        <w:t>专业资质</w:t>
      </w:r>
      <w:r>
        <w:rPr>
          <w:rFonts w:ascii="Times New Roman" w:hAnsi="Times New Roman" w:eastAsia="仿宋_GB2312" w:cs="仿宋_GB2312"/>
          <w:color w:val="C00000"/>
          <w:sz w:val="32"/>
          <w:szCs w:val="32"/>
        </w:rPr>
        <w:t>：投标人须具备有效期内工程咨询单位乙级及以上资信证书，资信类别不限，业务范围明确包含“生态建设和环境工程、市政公用工程”，具备医疗污水项目可研编制专业能力。优先考虑综合咨询实力较强，具备更全面乙级及以上业务范围（如同时涵盖“建筑、电子、信息工程”等）的咨询单位，使其能够为项目提供从技术方案到立项审批的全链条、高规格技术咨询服务。</w:t>
      </w:r>
    </w:p>
    <w:p w14:paraId="37D35A96">
      <w:pPr>
        <w:pStyle w:val="4"/>
        <w:numPr>
          <w:ilvl w:val="0"/>
          <w:numId w:val="0"/>
        </w:numPr>
        <w:topLinePunct w:val="0"/>
        <w:ind w:left="0" w:leftChars="0" w:firstLine="616"/>
        <w:rPr>
          <w:rFonts w:ascii="Times New Roman" w:hAnsi="Times New Roman" w:eastAsia="仿宋_GB2312" w:cs="仿宋_GB2312"/>
          <w:b w:val="0"/>
          <w:color w:val="C00000"/>
          <w:sz w:val="32"/>
          <w:szCs w:val="32"/>
        </w:rPr>
      </w:pPr>
      <w:r>
        <w:rPr>
          <w:rStyle w:val="9"/>
          <w:rFonts w:hint="eastAsia" w:eastAsia="楷体_GB2312"/>
          <w:color w:val="C00000"/>
          <w:lang w:eastAsia="zh-CN"/>
        </w:rPr>
        <w:t>（三）</w:t>
      </w:r>
      <w:r>
        <w:rPr>
          <w:rStyle w:val="9"/>
          <w:color w:val="C00000"/>
        </w:rPr>
        <w:t>业绩要求</w:t>
      </w:r>
      <w:r>
        <w:rPr>
          <w:rFonts w:ascii="Times New Roman" w:hAnsi="Times New Roman" w:eastAsia="仿宋_GB2312" w:cs="仿宋_GB2312"/>
          <w:color w:val="C00000"/>
          <w:sz w:val="32"/>
          <w:szCs w:val="32"/>
        </w:rPr>
        <w:t>：近3年内具备2项及以上县级及以上污水处理</w:t>
      </w:r>
      <w:r>
        <w:rPr>
          <w:rFonts w:hint="eastAsia" w:cs="仿宋_GB2312"/>
          <w:color w:val="C00000"/>
          <w:sz w:val="32"/>
          <w:szCs w:val="32"/>
          <w:lang w:eastAsia="zh-CN"/>
        </w:rPr>
        <w:t>相关的</w:t>
      </w:r>
      <w:r>
        <w:rPr>
          <w:rFonts w:ascii="Times New Roman" w:hAnsi="Times New Roman" w:eastAsia="仿宋_GB2312" w:cs="仿宋_GB2312"/>
          <w:color w:val="C00000"/>
          <w:sz w:val="32"/>
          <w:szCs w:val="32"/>
        </w:rPr>
        <w:t>改建／改造／新建项目的可行性研究报告编制或相关工程项目全过程咨询服务业绩。需提供相关佐证材料。</w:t>
      </w:r>
    </w:p>
    <w:p w14:paraId="7FF69475">
      <w:pPr>
        <w:pStyle w:val="4"/>
        <w:numPr>
          <w:ilvl w:val="0"/>
          <w:numId w:val="0"/>
        </w:numPr>
        <w:topLinePunct w:val="0"/>
        <w:ind w:left="0" w:leftChars="0" w:firstLine="616"/>
        <w:rPr>
          <w:rFonts w:ascii="Times New Roman" w:hAnsi="Times New Roman" w:eastAsia="仿宋_GB2312" w:cs="仿宋_GB2312"/>
          <w:b w:val="0"/>
          <w:sz w:val="32"/>
          <w:szCs w:val="32"/>
        </w:rPr>
      </w:pPr>
      <w:bookmarkStart w:id="0" w:name="_GoBack"/>
      <w:bookmarkEnd w:id="0"/>
      <w:r>
        <w:rPr>
          <w:rStyle w:val="9"/>
          <w:rFonts w:hint="eastAsia" w:eastAsia="楷体_GB2312"/>
          <w:lang w:eastAsia="zh-CN"/>
        </w:rPr>
        <w:t>（四）</w:t>
      </w:r>
      <w:r>
        <w:rPr>
          <w:rStyle w:val="9"/>
        </w:rPr>
        <w:t>信用要求</w:t>
      </w:r>
      <w:r>
        <w:rPr>
          <w:rFonts w:ascii="Times New Roman" w:hAnsi="Times New Roman" w:eastAsia="仿宋_GB2312" w:cs="仿宋_GB2312"/>
          <w:sz w:val="32"/>
          <w:szCs w:val="32"/>
        </w:rPr>
        <w:t>：未被列入信用中国失信被执行人、重大税收违法失信主体、政府采购严重违法失信名单，无环保行业不良记录、无项目弄虚作假、评审不合格等不良履约记录。</w:t>
      </w:r>
    </w:p>
    <w:p w14:paraId="1DF0FCF6">
      <w:pPr>
        <w:pStyle w:val="4"/>
        <w:numPr>
          <w:ilvl w:val="0"/>
          <w:numId w:val="0"/>
        </w:numPr>
        <w:topLinePunct w:val="0"/>
        <w:ind w:left="0" w:leftChars="0" w:firstLine="616"/>
        <w:rPr>
          <w:rFonts w:ascii="Times New Roman" w:hAnsi="Times New Roman" w:eastAsia="仿宋_GB2312" w:cs="仿宋_GB2312"/>
          <w:b w:val="0"/>
          <w:color w:val="C00000"/>
          <w:sz w:val="32"/>
          <w:szCs w:val="32"/>
        </w:rPr>
      </w:pPr>
      <w:r>
        <w:rPr>
          <w:rStyle w:val="9"/>
          <w:rFonts w:hint="eastAsia" w:eastAsia="楷体_GB2312"/>
          <w:color w:val="C00000"/>
          <w:lang w:eastAsia="zh-CN"/>
        </w:rPr>
        <w:t>（五）</w:t>
      </w:r>
      <w:r>
        <w:rPr>
          <w:rStyle w:val="9"/>
          <w:color w:val="C00000"/>
        </w:rPr>
        <w:t>人员要求</w:t>
      </w:r>
      <w:r>
        <w:rPr>
          <w:rFonts w:ascii="Times New Roman" w:hAnsi="Times New Roman" w:eastAsia="仿宋_GB2312" w:cs="仿宋_GB2312"/>
          <w:color w:val="C00000"/>
          <w:sz w:val="32"/>
          <w:szCs w:val="32"/>
        </w:rPr>
        <w:t>：项目负责人须具备注册咨询工程师（投资）执业资格，具备“生态建设和环境工程”专业中级或高级职称，具备污水项目可研编制经验，项目负责人需在踏勘、评审、关键汇报等核心节点亲自到场，日常对接由常驻授权代表负责。项目团队中至少配备</w:t>
      </w:r>
      <w:r>
        <w:rPr>
          <w:rFonts w:hint="eastAsia" w:cs="仿宋_GB2312"/>
          <w:color w:val="C00000"/>
          <w:sz w:val="32"/>
          <w:szCs w:val="32"/>
          <w:lang w:val="en-US" w:eastAsia="zh-CN"/>
        </w:rPr>
        <w:t>1</w:t>
      </w:r>
      <w:r>
        <w:rPr>
          <w:rFonts w:ascii="Times New Roman" w:hAnsi="Times New Roman" w:eastAsia="仿宋_GB2312" w:cs="仿宋_GB2312"/>
          <w:color w:val="C00000"/>
          <w:sz w:val="32"/>
          <w:szCs w:val="32"/>
        </w:rPr>
        <w:t>名具备‘生态建设和环境工程’专业能力的注册咨询工程师（投资），以及1名具备‘市政公用工程’或‘建筑’专业中级及以上职称的技术人员。</w:t>
      </w:r>
    </w:p>
    <w:p w14:paraId="306B6E6B">
      <w:pPr>
        <w:pStyle w:val="2"/>
        <w:numPr>
          <w:ilvl w:val="0"/>
          <w:numId w:val="0"/>
        </w:numPr>
        <w:topLinePunct w:val="0"/>
        <w:ind w:left="0" w:leftChars="0" w:firstLine="640"/>
        <w:rPr>
          <w:b w:val="0"/>
        </w:rPr>
      </w:pPr>
      <w:r>
        <w:rPr>
          <w:rFonts w:hint="eastAsia"/>
          <w:lang w:val="en-US" w:eastAsia="zh-CN"/>
        </w:rPr>
        <w:t>四</w:t>
      </w:r>
      <w:r>
        <w:rPr>
          <w:rFonts w:hint="eastAsia"/>
          <w:lang w:eastAsia="zh-CN"/>
        </w:rPr>
        <w:t>、</w:t>
      </w:r>
      <w:r>
        <w:t>报价要求</w:t>
      </w:r>
    </w:p>
    <w:p w14:paraId="4D5C0096">
      <w:pPr>
        <w:pStyle w:val="4"/>
        <w:numPr>
          <w:ilvl w:val="0"/>
          <w:numId w:val="0"/>
        </w:numPr>
        <w:ind w:left="0" w:leftChars="0" w:firstLine="616"/>
        <w:rPr>
          <w:rFonts w:ascii="Times New Roman" w:hAnsi="Times New Roman" w:eastAsia="仿宋_GB2312" w:cs="仿宋_GB2312"/>
          <w:b w:val="0"/>
          <w:sz w:val="32"/>
          <w:szCs w:val="32"/>
        </w:rPr>
      </w:pPr>
      <w:r>
        <w:rPr>
          <w:rFonts w:hint="eastAsia" w:cs="仿宋_GB2312"/>
          <w:sz w:val="32"/>
          <w:szCs w:val="32"/>
          <w:lang w:eastAsia="zh-CN"/>
        </w:rPr>
        <w:t>1.</w:t>
      </w:r>
      <w:r>
        <w:rPr>
          <w:rFonts w:hint="eastAsia" w:ascii="仿宋" w:hAnsi="仿宋" w:eastAsia="仿宋" w:cs="仿宋"/>
          <w:spacing w:val="-6"/>
          <w:sz w:val="32"/>
          <w:szCs w:val="32"/>
          <w:lang w:eastAsia="zh-CN"/>
        </w:rPr>
        <w:t xml:space="preserve"> </w:t>
      </w:r>
      <w:r>
        <w:rPr>
          <w:rFonts w:ascii="Times New Roman" w:hAnsi="Times New Roman" w:eastAsia="仿宋_GB2312" w:cs="仿宋_GB2312"/>
          <w:sz w:val="32"/>
          <w:szCs w:val="32"/>
        </w:rPr>
        <w:t>本次报价为含税全包固定总价，包含踏勘调研、资料收集、报告编制、图纸制作、专家评审配合、修改整改、报批服务、打印装订、税费、人工、交通、售后全部费用，采购人无需额外支付任何费用。</w:t>
      </w:r>
    </w:p>
    <w:p w14:paraId="202FD453">
      <w:pPr>
        <w:pStyle w:val="4"/>
        <w:numPr>
          <w:ilvl w:val="0"/>
          <w:numId w:val="0"/>
        </w:numPr>
        <w:ind w:left="0" w:leftChars="0" w:firstLine="616"/>
        <w:rPr>
          <w:rFonts w:ascii="Times New Roman" w:hAnsi="Times New Roman" w:eastAsia="仿宋_GB2312" w:cs="仿宋_GB2312"/>
          <w:b w:val="0"/>
          <w:sz w:val="32"/>
          <w:szCs w:val="32"/>
        </w:rPr>
      </w:pPr>
      <w:r>
        <w:rPr>
          <w:rFonts w:hint="eastAsia" w:cs="仿宋_GB2312"/>
          <w:sz w:val="32"/>
          <w:szCs w:val="32"/>
          <w:lang w:eastAsia="zh-CN"/>
        </w:rPr>
        <w:t>2.</w:t>
      </w:r>
      <w:r>
        <w:rPr>
          <w:rFonts w:hint="eastAsia" w:ascii="仿宋" w:hAnsi="仿宋" w:eastAsia="仿宋" w:cs="仿宋"/>
          <w:spacing w:val="-6"/>
          <w:sz w:val="32"/>
          <w:szCs w:val="32"/>
          <w:lang w:eastAsia="zh-CN"/>
        </w:rPr>
        <w:t xml:space="preserve"> </w:t>
      </w:r>
      <w:r>
        <w:rPr>
          <w:rFonts w:ascii="Times New Roman" w:hAnsi="Times New Roman" w:eastAsia="仿宋_GB2312" w:cs="仿宋_GB2312"/>
          <w:sz w:val="32"/>
          <w:szCs w:val="32"/>
        </w:rPr>
        <w:t>报价合理合规，严禁恶意低价、围标串标，报价需匹配服务标准与成果质量。</w:t>
      </w:r>
    </w:p>
    <w:p w14:paraId="26D7CC5F">
      <w:pPr>
        <w:pStyle w:val="2"/>
        <w:numPr>
          <w:ilvl w:val="0"/>
          <w:numId w:val="0"/>
        </w:numPr>
        <w:topLinePunct w:val="0"/>
        <w:ind w:left="0" w:leftChars="0" w:firstLine="640"/>
        <w:rPr>
          <w:b w:val="0"/>
        </w:rPr>
      </w:pPr>
      <w:r>
        <w:rPr>
          <w:rFonts w:hint="eastAsia"/>
          <w:lang w:val="en-US" w:eastAsia="zh-CN"/>
        </w:rPr>
        <w:t>五</w:t>
      </w:r>
      <w:r>
        <w:rPr>
          <w:rFonts w:hint="eastAsia"/>
          <w:lang w:eastAsia="zh-CN"/>
        </w:rPr>
        <w:t>、</w:t>
      </w:r>
      <w:r>
        <w:t>工期及交付要求</w:t>
      </w:r>
    </w:p>
    <w:p w14:paraId="1E4BCC9E">
      <w:pPr>
        <w:pStyle w:val="4"/>
        <w:numPr>
          <w:ilvl w:val="0"/>
          <w:numId w:val="0"/>
        </w:numPr>
        <w:ind w:left="0" w:leftChars="0" w:firstLine="616"/>
        <w:rPr>
          <w:rFonts w:ascii="Times New Roman" w:hAnsi="Times New Roman" w:eastAsia="仿宋_GB2312" w:cs="仿宋_GB2312"/>
          <w:b w:val="0"/>
          <w:sz w:val="32"/>
          <w:szCs w:val="32"/>
        </w:rPr>
      </w:pPr>
      <w:r>
        <w:rPr>
          <w:rFonts w:hint="eastAsia" w:cs="仿宋_GB2312"/>
          <w:sz w:val="32"/>
          <w:szCs w:val="32"/>
          <w:lang w:eastAsia="zh-CN"/>
        </w:rPr>
        <w:t>1.</w:t>
      </w:r>
      <w:r>
        <w:rPr>
          <w:rFonts w:hint="eastAsia" w:ascii="仿宋" w:hAnsi="仿宋" w:eastAsia="仿宋" w:cs="仿宋"/>
          <w:spacing w:val="-6"/>
          <w:sz w:val="32"/>
          <w:szCs w:val="32"/>
          <w:lang w:eastAsia="zh-CN"/>
        </w:rPr>
        <w:t xml:space="preserve"> </w:t>
      </w:r>
      <w:r>
        <w:rPr>
          <w:rFonts w:ascii="Times New Roman" w:hAnsi="Times New Roman" w:eastAsia="仿宋_GB2312" w:cs="仿宋_GB2312"/>
          <w:sz w:val="32"/>
          <w:szCs w:val="32"/>
        </w:rPr>
        <w:t>合同签订后 3个工作日内进场踏勘、启动编制工作；</w:t>
      </w:r>
    </w:p>
    <w:p w14:paraId="043DF5E7">
      <w:pPr>
        <w:pStyle w:val="4"/>
        <w:numPr>
          <w:ilvl w:val="0"/>
          <w:numId w:val="0"/>
        </w:numPr>
        <w:ind w:left="0" w:leftChars="0" w:firstLine="616"/>
        <w:rPr>
          <w:rFonts w:ascii="Times New Roman" w:hAnsi="Times New Roman" w:eastAsia="仿宋_GB2312" w:cs="仿宋_GB2312"/>
          <w:b w:val="0"/>
          <w:sz w:val="32"/>
          <w:szCs w:val="32"/>
        </w:rPr>
      </w:pPr>
      <w:r>
        <w:rPr>
          <w:rFonts w:hint="eastAsia" w:cs="仿宋_GB2312"/>
          <w:sz w:val="32"/>
          <w:szCs w:val="32"/>
          <w:lang w:eastAsia="zh-CN"/>
        </w:rPr>
        <w:t>2.</w:t>
      </w:r>
      <w:r>
        <w:rPr>
          <w:rFonts w:hint="eastAsia" w:ascii="仿宋" w:hAnsi="仿宋" w:eastAsia="仿宋" w:cs="仿宋"/>
          <w:spacing w:val="-6"/>
          <w:sz w:val="32"/>
          <w:szCs w:val="32"/>
          <w:lang w:eastAsia="zh-CN"/>
        </w:rPr>
        <w:t xml:space="preserve"> </w:t>
      </w:r>
      <w:r>
        <w:rPr>
          <w:rFonts w:ascii="Times New Roman" w:hAnsi="Times New Roman" w:eastAsia="仿宋_GB2312" w:cs="仿宋_GB2312"/>
          <w:sz w:val="32"/>
          <w:szCs w:val="32"/>
        </w:rPr>
        <w:t>从委托单位提供齐全完整有效的基础资料和图纸资料开始计算，15日历天内提交初稿；</w:t>
      </w:r>
    </w:p>
    <w:p w14:paraId="416476EB">
      <w:pPr>
        <w:pStyle w:val="4"/>
        <w:numPr>
          <w:ilvl w:val="0"/>
          <w:numId w:val="0"/>
        </w:numPr>
        <w:ind w:left="0" w:leftChars="0" w:firstLine="616"/>
        <w:rPr>
          <w:rFonts w:ascii="Times New Roman" w:hAnsi="Times New Roman" w:eastAsia="仿宋_GB2312" w:cs="仿宋_GB2312"/>
          <w:b w:val="0"/>
          <w:sz w:val="32"/>
          <w:szCs w:val="32"/>
        </w:rPr>
      </w:pPr>
      <w:r>
        <w:rPr>
          <w:rFonts w:hint="eastAsia" w:cs="仿宋_GB2312"/>
          <w:sz w:val="32"/>
          <w:szCs w:val="32"/>
          <w:lang w:eastAsia="zh-CN"/>
        </w:rPr>
        <w:t>3.</w:t>
      </w:r>
      <w:r>
        <w:rPr>
          <w:rFonts w:hint="eastAsia" w:ascii="仿宋" w:hAnsi="仿宋" w:eastAsia="仿宋" w:cs="仿宋"/>
          <w:spacing w:val="-6"/>
          <w:sz w:val="32"/>
          <w:szCs w:val="32"/>
          <w:lang w:eastAsia="zh-CN"/>
        </w:rPr>
        <w:t xml:space="preserve"> </w:t>
      </w:r>
      <w:r>
        <w:rPr>
          <w:rFonts w:ascii="Times New Roman" w:hAnsi="Times New Roman" w:eastAsia="仿宋_GB2312" w:cs="仿宋_GB2312"/>
          <w:sz w:val="32"/>
          <w:szCs w:val="32"/>
        </w:rPr>
        <w:t>根据采购人及专家意见限期修改，最终提交正式报批版成果，配合完成评审及报批工作，直至项目可研工作办结。</w:t>
      </w:r>
    </w:p>
    <w:p w14:paraId="430B447D">
      <w:pPr>
        <w:pStyle w:val="2"/>
        <w:numPr>
          <w:ilvl w:val="0"/>
          <w:numId w:val="0"/>
        </w:numPr>
        <w:topLinePunct w:val="0"/>
        <w:ind w:left="0" w:leftChars="0" w:firstLine="640"/>
        <w:rPr>
          <w:b w:val="0"/>
        </w:rPr>
      </w:pPr>
      <w:r>
        <w:rPr>
          <w:rFonts w:hint="eastAsia"/>
          <w:lang w:val="en-US" w:eastAsia="zh-CN"/>
        </w:rPr>
        <w:t>六</w:t>
      </w:r>
      <w:r>
        <w:rPr>
          <w:rFonts w:hint="eastAsia"/>
          <w:lang w:eastAsia="zh-CN"/>
        </w:rPr>
        <w:t>、</w:t>
      </w:r>
      <w:r>
        <w:t>验收标准</w:t>
      </w:r>
    </w:p>
    <w:p w14:paraId="3D3C110B">
      <w:pPr>
        <w:pStyle w:val="4"/>
        <w:numPr>
          <w:ilvl w:val="0"/>
          <w:numId w:val="0"/>
        </w:numPr>
        <w:ind w:left="0" w:leftChars="0" w:firstLine="616"/>
        <w:rPr>
          <w:rFonts w:ascii="Times New Roman" w:hAnsi="Times New Roman" w:eastAsia="仿宋_GB2312" w:cs="仿宋_GB2312"/>
          <w:b w:val="0"/>
          <w:sz w:val="32"/>
          <w:szCs w:val="32"/>
        </w:rPr>
      </w:pPr>
      <w:r>
        <w:rPr>
          <w:rFonts w:hint="eastAsia" w:cs="仿宋_GB2312"/>
          <w:sz w:val="32"/>
          <w:szCs w:val="32"/>
          <w:lang w:eastAsia="zh-CN"/>
        </w:rPr>
        <w:t>1.</w:t>
      </w:r>
      <w:r>
        <w:rPr>
          <w:rFonts w:hint="eastAsia" w:ascii="仿宋" w:hAnsi="仿宋" w:eastAsia="仿宋" w:cs="仿宋"/>
          <w:spacing w:val="-6"/>
          <w:sz w:val="32"/>
          <w:szCs w:val="32"/>
          <w:lang w:eastAsia="zh-CN"/>
        </w:rPr>
        <w:t xml:space="preserve"> </w:t>
      </w:r>
      <w:r>
        <w:rPr>
          <w:rFonts w:ascii="Times New Roman" w:hAnsi="Times New Roman" w:eastAsia="仿宋_GB2312" w:cs="仿宋_GB2312"/>
          <w:sz w:val="32"/>
          <w:szCs w:val="32"/>
        </w:rPr>
        <w:t>报告章节齐全、内容完整、数据真实、符合国家及行业编制规范；</w:t>
      </w:r>
    </w:p>
    <w:p w14:paraId="3391710F">
      <w:pPr>
        <w:pStyle w:val="4"/>
        <w:numPr>
          <w:ilvl w:val="0"/>
          <w:numId w:val="0"/>
        </w:numPr>
        <w:ind w:left="0" w:leftChars="0" w:firstLine="616"/>
        <w:rPr>
          <w:rFonts w:ascii="Times New Roman" w:hAnsi="Times New Roman" w:eastAsia="仿宋_GB2312" w:cs="仿宋_GB2312"/>
          <w:b w:val="0"/>
          <w:sz w:val="32"/>
          <w:szCs w:val="32"/>
        </w:rPr>
      </w:pPr>
      <w:r>
        <w:rPr>
          <w:rFonts w:hint="eastAsia" w:cs="仿宋_GB2312"/>
          <w:sz w:val="32"/>
          <w:szCs w:val="32"/>
          <w:lang w:eastAsia="zh-CN"/>
        </w:rPr>
        <w:t>2.</w:t>
      </w:r>
      <w:r>
        <w:rPr>
          <w:rFonts w:hint="eastAsia" w:ascii="仿宋" w:hAnsi="仿宋" w:eastAsia="仿宋" w:cs="仿宋"/>
          <w:spacing w:val="-6"/>
          <w:sz w:val="32"/>
          <w:szCs w:val="32"/>
          <w:lang w:eastAsia="zh-CN"/>
        </w:rPr>
        <w:t xml:space="preserve"> </w:t>
      </w:r>
      <w:r>
        <w:rPr>
          <w:rFonts w:ascii="Times New Roman" w:hAnsi="Times New Roman" w:eastAsia="仿宋_GB2312" w:cs="仿宋_GB2312"/>
          <w:sz w:val="32"/>
          <w:szCs w:val="32"/>
        </w:rPr>
        <w:t>满足医院污水站项目立项、环保评审、主管部门审批要求；</w:t>
      </w:r>
    </w:p>
    <w:p w14:paraId="70A48136">
      <w:pPr>
        <w:pStyle w:val="4"/>
        <w:numPr>
          <w:ilvl w:val="0"/>
          <w:numId w:val="0"/>
        </w:numPr>
        <w:ind w:left="0" w:leftChars="0" w:firstLine="616"/>
        <w:rPr>
          <w:rFonts w:ascii="Times New Roman" w:hAnsi="Times New Roman" w:eastAsia="仿宋_GB2312" w:cs="仿宋_GB2312"/>
          <w:b w:val="0"/>
          <w:sz w:val="32"/>
          <w:szCs w:val="32"/>
        </w:rPr>
      </w:pPr>
      <w:r>
        <w:rPr>
          <w:rFonts w:hint="eastAsia" w:cs="仿宋_GB2312"/>
          <w:sz w:val="32"/>
          <w:szCs w:val="32"/>
          <w:lang w:eastAsia="zh-CN"/>
        </w:rPr>
        <w:t>3.</w:t>
      </w:r>
      <w:r>
        <w:rPr>
          <w:rFonts w:hint="eastAsia" w:ascii="仿宋" w:hAnsi="仿宋" w:eastAsia="仿宋" w:cs="仿宋"/>
          <w:spacing w:val="-6"/>
          <w:sz w:val="32"/>
          <w:szCs w:val="32"/>
          <w:lang w:eastAsia="zh-CN"/>
        </w:rPr>
        <w:t xml:space="preserve"> </w:t>
      </w:r>
      <w:r>
        <w:rPr>
          <w:rFonts w:ascii="Times New Roman" w:hAnsi="Times New Roman" w:eastAsia="仿宋_GB2312" w:cs="仿宋_GB2312"/>
          <w:sz w:val="32"/>
          <w:szCs w:val="32"/>
        </w:rPr>
        <w:t>顺利通过专家评审，无重大修改意见；</w:t>
      </w:r>
    </w:p>
    <w:p w14:paraId="7E6E181C">
      <w:pPr>
        <w:pStyle w:val="4"/>
        <w:numPr>
          <w:ilvl w:val="0"/>
          <w:numId w:val="0"/>
        </w:numPr>
        <w:ind w:left="0" w:leftChars="0" w:firstLine="616"/>
        <w:rPr>
          <w:rFonts w:ascii="Times New Roman" w:hAnsi="Times New Roman" w:eastAsia="仿宋_GB2312" w:cs="仿宋_GB2312"/>
          <w:b w:val="0"/>
          <w:sz w:val="32"/>
          <w:szCs w:val="32"/>
        </w:rPr>
      </w:pPr>
      <w:r>
        <w:rPr>
          <w:rFonts w:hint="eastAsia" w:cs="仿宋_GB2312"/>
          <w:sz w:val="32"/>
          <w:szCs w:val="32"/>
          <w:lang w:eastAsia="zh-CN"/>
        </w:rPr>
        <w:t>4.</w:t>
      </w:r>
      <w:r>
        <w:rPr>
          <w:rFonts w:hint="eastAsia" w:ascii="仿宋" w:hAnsi="仿宋" w:eastAsia="仿宋" w:cs="仿宋"/>
          <w:spacing w:val="-6"/>
          <w:sz w:val="32"/>
          <w:szCs w:val="32"/>
          <w:lang w:eastAsia="zh-CN"/>
        </w:rPr>
        <w:t xml:space="preserve"> </w:t>
      </w:r>
      <w:r>
        <w:rPr>
          <w:rFonts w:ascii="Times New Roman" w:hAnsi="Times New Roman" w:eastAsia="仿宋_GB2312" w:cs="仿宋_GB2312"/>
          <w:sz w:val="32"/>
          <w:szCs w:val="32"/>
        </w:rPr>
        <w:t>完整交付全部纸质、电子版成果资料，完成所有配套服务。</w:t>
      </w:r>
    </w:p>
    <w:p w14:paraId="7293CEF8">
      <w:pPr>
        <w:pStyle w:val="2"/>
        <w:numPr>
          <w:ilvl w:val="0"/>
          <w:numId w:val="0"/>
        </w:numPr>
        <w:topLinePunct w:val="0"/>
        <w:ind w:left="0" w:leftChars="0" w:firstLine="640"/>
        <w:rPr>
          <w:b w:val="0"/>
        </w:rPr>
      </w:pPr>
      <w:r>
        <w:rPr>
          <w:rFonts w:hint="eastAsia"/>
          <w:lang w:val="en-US" w:eastAsia="zh-CN"/>
        </w:rPr>
        <w:t>七</w:t>
      </w:r>
      <w:r>
        <w:rPr>
          <w:rFonts w:hint="eastAsia"/>
          <w:lang w:eastAsia="zh-CN"/>
        </w:rPr>
        <w:t>、</w:t>
      </w:r>
      <w:r>
        <w:t>售后服务及履约要求</w:t>
      </w:r>
    </w:p>
    <w:p w14:paraId="74B77478">
      <w:pPr>
        <w:pStyle w:val="4"/>
        <w:numPr>
          <w:ilvl w:val="0"/>
          <w:numId w:val="0"/>
        </w:numPr>
        <w:ind w:left="0" w:leftChars="0" w:firstLine="616"/>
        <w:rPr>
          <w:rFonts w:ascii="Times New Roman" w:hAnsi="Times New Roman" w:eastAsia="仿宋_GB2312" w:cs="仿宋_GB2312"/>
          <w:b w:val="0"/>
          <w:sz w:val="32"/>
          <w:szCs w:val="32"/>
        </w:rPr>
      </w:pPr>
      <w:r>
        <w:rPr>
          <w:rFonts w:hint="eastAsia" w:cs="仿宋_GB2312"/>
          <w:sz w:val="32"/>
          <w:szCs w:val="32"/>
          <w:lang w:eastAsia="zh-CN"/>
        </w:rPr>
        <w:t>1.</w:t>
      </w:r>
      <w:r>
        <w:rPr>
          <w:rFonts w:hint="eastAsia" w:ascii="仿宋" w:hAnsi="仿宋" w:eastAsia="仿宋" w:cs="仿宋"/>
          <w:spacing w:val="-6"/>
          <w:sz w:val="32"/>
          <w:szCs w:val="32"/>
          <w:lang w:eastAsia="zh-CN"/>
        </w:rPr>
        <w:t xml:space="preserve"> </w:t>
      </w:r>
      <w:r>
        <w:rPr>
          <w:rFonts w:ascii="Times New Roman" w:hAnsi="Times New Roman" w:eastAsia="仿宋_GB2312" w:cs="仿宋_GB2312"/>
          <w:sz w:val="32"/>
          <w:szCs w:val="32"/>
        </w:rPr>
        <w:t>项目服务期内免费修改、免费答疑、免费配合评审报批；</w:t>
      </w:r>
    </w:p>
    <w:p w14:paraId="08C70984">
      <w:pPr>
        <w:pStyle w:val="4"/>
        <w:numPr>
          <w:ilvl w:val="0"/>
          <w:numId w:val="0"/>
        </w:numPr>
        <w:ind w:left="0" w:leftChars="0" w:firstLine="616"/>
        <w:rPr>
          <w:rFonts w:hint="default" w:cs="仿宋_GB2312"/>
          <w:sz w:val="32"/>
          <w:szCs w:val="32"/>
          <w:lang w:eastAsia="zh-CN"/>
        </w:rPr>
      </w:pPr>
      <w:r>
        <w:rPr>
          <w:rFonts w:hint="eastAsia" w:cs="仿宋_GB2312"/>
          <w:sz w:val="32"/>
          <w:szCs w:val="32"/>
          <w:lang w:eastAsia="zh-CN"/>
        </w:rPr>
        <w:t>2. 自项目取得发改或主管部门</w:t>
      </w:r>
      <w:r>
        <w:rPr>
          <w:rFonts w:hint="default" w:cs="仿宋_GB2312"/>
          <w:sz w:val="32"/>
          <w:szCs w:val="32"/>
          <w:lang w:eastAsia="zh-CN"/>
        </w:rPr>
        <w:t>正式批复文件（或认可意见）之日起，提供6个月的质保服务期。质保期内，若因报告自身数据错误、遗漏或主管部门核查要求导致的问题，乙方须免费配合整改；若因国家政策标准发生重大调整需补充内容，双方另行协商费用。</w:t>
      </w:r>
    </w:p>
    <w:p w14:paraId="3F9624E8">
      <w:pPr>
        <w:pStyle w:val="4"/>
        <w:numPr>
          <w:ilvl w:val="0"/>
          <w:numId w:val="0"/>
        </w:numPr>
        <w:ind w:left="0" w:leftChars="0" w:firstLine="616"/>
        <w:rPr>
          <w:rFonts w:ascii="Times New Roman" w:hAnsi="Times New Roman" w:eastAsia="仿宋_GB2312" w:cs="仿宋_GB2312"/>
          <w:b w:val="0"/>
          <w:sz w:val="32"/>
          <w:szCs w:val="32"/>
        </w:rPr>
      </w:pPr>
      <w:r>
        <w:rPr>
          <w:rFonts w:hint="eastAsia" w:cs="仿宋_GB2312"/>
          <w:sz w:val="32"/>
          <w:szCs w:val="32"/>
          <w:lang w:eastAsia="zh-CN"/>
        </w:rPr>
        <w:t>3.</w:t>
      </w:r>
      <w:r>
        <w:rPr>
          <w:rFonts w:hint="eastAsia" w:ascii="仿宋" w:hAnsi="仿宋" w:eastAsia="仿宋" w:cs="仿宋"/>
          <w:spacing w:val="-6"/>
          <w:sz w:val="32"/>
          <w:szCs w:val="32"/>
          <w:lang w:eastAsia="zh-CN"/>
        </w:rPr>
        <w:t xml:space="preserve"> </w:t>
      </w:r>
      <w:r>
        <w:rPr>
          <w:rFonts w:ascii="Times New Roman" w:hAnsi="Times New Roman" w:eastAsia="仿宋_GB2312" w:cs="仿宋_GB2312"/>
          <w:sz w:val="32"/>
          <w:szCs w:val="32"/>
        </w:rPr>
        <w:t>严格遵守采购人工作纪律，不干扰医院正常诊疗工作，服从采购人管理调度；</w:t>
      </w:r>
    </w:p>
    <w:p w14:paraId="092E0429">
      <w:pPr>
        <w:pStyle w:val="4"/>
        <w:numPr>
          <w:ilvl w:val="0"/>
          <w:numId w:val="0"/>
        </w:numPr>
        <w:ind w:left="0" w:leftChars="0" w:firstLine="616"/>
        <w:rPr>
          <w:rFonts w:ascii="Times New Roman" w:hAnsi="Times New Roman" w:eastAsia="仿宋_GB2312" w:cs="仿宋_GB2312"/>
          <w:b w:val="0"/>
          <w:sz w:val="32"/>
          <w:szCs w:val="32"/>
        </w:rPr>
      </w:pPr>
      <w:r>
        <w:rPr>
          <w:rFonts w:hint="eastAsia" w:cs="仿宋_GB2312"/>
          <w:sz w:val="32"/>
          <w:szCs w:val="32"/>
          <w:lang w:eastAsia="zh-CN"/>
        </w:rPr>
        <w:t>4.</w:t>
      </w:r>
      <w:r>
        <w:rPr>
          <w:rFonts w:hint="eastAsia" w:ascii="仿宋" w:hAnsi="仿宋" w:eastAsia="仿宋" w:cs="仿宋"/>
          <w:spacing w:val="-6"/>
          <w:sz w:val="32"/>
          <w:szCs w:val="32"/>
          <w:lang w:eastAsia="zh-CN"/>
        </w:rPr>
        <w:t xml:space="preserve"> </w:t>
      </w:r>
      <w:r>
        <w:rPr>
          <w:rFonts w:ascii="Times New Roman" w:hAnsi="Times New Roman" w:eastAsia="仿宋_GB2312" w:cs="仿宋_GB2312"/>
          <w:sz w:val="32"/>
          <w:szCs w:val="32"/>
        </w:rPr>
        <w:t>中标单位应承担因其报告编制质量缺陷所导致的直接经济损失，最高赔偿额不超过本项目合同服务费总额。</w:t>
      </w:r>
    </w:p>
    <w:p w14:paraId="4E2B3FEA">
      <w:pPr>
        <w:pStyle w:val="2"/>
        <w:numPr>
          <w:ilvl w:val="0"/>
          <w:numId w:val="0"/>
        </w:numPr>
        <w:topLinePunct w:val="0"/>
        <w:ind w:left="0" w:leftChars="0" w:firstLine="640"/>
        <w:rPr>
          <w:b w:val="0"/>
        </w:rPr>
      </w:pPr>
      <w:r>
        <w:rPr>
          <w:rFonts w:hint="eastAsia"/>
          <w:lang w:val="en-US" w:eastAsia="zh-CN"/>
        </w:rPr>
        <w:t>八</w:t>
      </w:r>
      <w:r>
        <w:rPr>
          <w:rFonts w:hint="eastAsia"/>
          <w:lang w:eastAsia="zh-CN"/>
        </w:rPr>
        <w:t>、</w:t>
      </w:r>
      <w:r>
        <w:t>其他说明</w:t>
      </w:r>
    </w:p>
    <w:p w14:paraId="036474DE">
      <w:pPr>
        <w:pStyle w:val="4"/>
        <w:numPr>
          <w:ilvl w:val="0"/>
          <w:numId w:val="0"/>
        </w:numPr>
        <w:ind w:left="0" w:leftChars="0" w:firstLine="616"/>
        <w:rPr>
          <w:rFonts w:ascii="Times New Roman" w:hAnsi="Times New Roman" w:eastAsia="仿宋_GB2312" w:cs="仿宋_GB2312"/>
          <w:b w:val="0"/>
          <w:sz w:val="32"/>
          <w:szCs w:val="32"/>
        </w:rPr>
      </w:pPr>
      <w:r>
        <w:rPr>
          <w:rFonts w:hint="eastAsia" w:cs="仿宋_GB2312"/>
          <w:sz w:val="32"/>
          <w:szCs w:val="32"/>
          <w:lang w:eastAsia="zh-CN"/>
        </w:rPr>
        <w:t>1.</w:t>
      </w:r>
      <w:r>
        <w:rPr>
          <w:rFonts w:hint="eastAsia" w:ascii="仿宋" w:hAnsi="仿宋" w:eastAsia="仿宋" w:cs="仿宋"/>
          <w:spacing w:val="-6"/>
          <w:sz w:val="32"/>
          <w:szCs w:val="32"/>
          <w:lang w:eastAsia="zh-CN"/>
        </w:rPr>
        <w:t xml:space="preserve"> </w:t>
      </w:r>
      <w:r>
        <w:rPr>
          <w:rFonts w:ascii="Times New Roman" w:hAnsi="Times New Roman" w:eastAsia="仿宋_GB2312" w:cs="仿宋_GB2312"/>
          <w:sz w:val="32"/>
          <w:szCs w:val="32"/>
        </w:rPr>
        <w:t>本项目不接受联合体投标，禁止转包、违法分包，一经发现取消中标资格、解除合同并追究违约责任；</w:t>
      </w:r>
    </w:p>
    <w:p w14:paraId="2D971657">
      <w:pPr>
        <w:pStyle w:val="4"/>
        <w:numPr>
          <w:ilvl w:val="0"/>
          <w:numId w:val="0"/>
        </w:numPr>
        <w:ind w:left="0" w:leftChars="0" w:firstLine="616"/>
        <w:rPr>
          <w:rFonts w:ascii="Times New Roman" w:hAnsi="Times New Roman" w:eastAsia="仿宋_GB2312" w:cs="仿宋_GB2312"/>
          <w:b w:val="0"/>
          <w:sz w:val="32"/>
          <w:szCs w:val="32"/>
        </w:rPr>
      </w:pPr>
      <w:r>
        <w:rPr>
          <w:rFonts w:hint="eastAsia" w:cs="仿宋_GB2312"/>
          <w:sz w:val="32"/>
          <w:szCs w:val="32"/>
          <w:lang w:eastAsia="zh-CN"/>
        </w:rPr>
        <w:t>2.</w:t>
      </w:r>
      <w:r>
        <w:rPr>
          <w:rFonts w:hint="eastAsia" w:ascii="仿宋" w:hAnsi="仿宋" w:eastAsia="仿宋" w:cs="仿宋"/>
          <w:spacing w:val="-6"/>
          <w:sz w:val="32"/>
          <w:szCs w:val="32"/>
          <w:lang w:eastAsia="zh-CN"/>
        </w:rPr>
        <w:t xml:space="preserve"> </w:t>
      </w:r>
      <w:r>
        <w:rPr>
          <w:rFonts w:ascii="Times New Roman" w:hAnsi="Times New Roman" w:eastAsia="仿宋_GB2312" w:cs="仿宋_GB2312"/>
          <w:sz w:val="32"/>
          <w:szCs w:val="32"/>
        </w:rPr>
        <w:t>投标人需充分踏勘现场、了解项目实际情况，自行承担踏勘及编制风险；</w:t>
      </w:r>
    </w:p>
    <w:p w14:paraId="0B5424AC">
      <w:pPr>
        <w:pStyle w:val="4"/>
        <w:numPr>
          <w:ilvl w:val="0"/>
          <w:numId w:val="0"/>
        </w:numPr>
        <w:ind w:left="0" w:leftChars="0" w:firstLine="616"/>
      </w:pPr>
      <w:r>
        <w:rPr>
          <w:rFonts w:hint="eastAsia" w:cs="仿宋_GB2312"/>
          <w:sz w:val="32"/>
          <w:szCs w:val="32"/>
          <w:lang w:eastAsia="zh-CN"/>
        </w:rPr>
        <w:t>3.</w:t>
      </w:r>
      <w:r>
        <w:rPr>
          <w:rFonts w:hint="eastAsia" w:ascii="仿宋" w:hAnsi="仿宋" w:eastAsia="仿宋" w:cs="仿宋"/>
          <w:spacing w:val="-6"/>
          <w:sz w:val="32"/>
          <w:szCs w:val="32"/>
          <w:lang w:eastAsia="zh-CN"/>
        </w:rPr>
        <w:t xml:space="preserve"> </w:t>
      </w:r>
      <w:r>
        <w:rPr>
          <w:rFonts w:ascii="Times New Roman" w:hAnsi="Times New Roman" w:eastAsia="仿宋_GB2312" w:cs="仿宋_GB2312"/>
          <w:sz w:val="32"/>
          <w:szCs w:val="32"/>
        </w:rPr>
        <w:t>未尽事宜由双方在合同中协商明确。</w:t>
      </w:r>
    </w:p>
    <w:p w14:paraId="0D39E6C5"/>
    <w:sectPr>
      <w:headerReference r:id="rId5" w:type="default"/>
      <w:footerReference r:id="rId7" w:type="default"/>
      <w:headerReference r:id="rId6" w:type="even"/>
      <w:footerReference r:id="rId8" w:type="even"/>
      <w:pgSz w:w="11906" w:h="16838"/>
      <w:pgMar w:top="2098" w:right="1474" w:bottom="1984" w:left="1587" w:header="851" w:footer="1417" w:gutter="0"/>
      <w:pgNumType w:fmt="decimal" w:start="1"/>
      <w:cols w:space="425" w:num="1"/>
      <w:docGrid w:type="linesAndChars" w:linePitch="579" w:charSpace="15"/>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A1"/>
    <w:family w:val="roman"/>
    <w:pitch w:val="default"/>
    <w:sig w:usb0="E0002EFF" w:usb1="C000785B" w:usb2="00000009" w:usb3="00000000" w:csb0="400001FF" w:csb1="FFFF0000"/>
  </w:font>
  <w:font w:name="宋体">
    <w:panose1 w:val="02010600030101010101"/>
    <w:charset w:val="88"/>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altName w:val="仿宋"/>
    <w:panose1 w:val="02010609030101010101"/>
    <w:charset w:val="86"/>
    <w:family w:val="auto"/>
    <w:pitch w:val="default"/>
    <w:sig w:usb0="00000000" w:usb1="00000000" w:usb2="00000000" w:usb3="00000000" w:csb0="00040000" w:csb1="00000000"/>
  </w:font>
  <w:font w:name="楷体_GB2312">
    <w:altName w:val="楷体"/>
    <w:panose1 w:val="02010609030101010101"/>
    <w:charset w:val="86"/>
    <w:family w:val="auto"/>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 w:name="楷体">
    <w:panose1 w:val="02010609060101010101"/>
    <w:charset w:val="86"/>
    <w:family w:val="auto"/>
    <w:pitch w:val="default"/>
    <w:sig w:usb0="800002BF" w:usb1="38CF7CFA" w:usb2="00000016" w:usb3="00000000" w:csb0="00040001" w:csb1="00000000"/>
  </w:font>
  <w:font w:name="KSOFE4500885">
    <w:panose1 w:val="02010609060101010101"/>
    <w:charset w:val="86"/>
    <w:family w:val="auto"/>
    <w:pitch w:val="default"/>
    <w:sig w:usb0="00000001" w:usb1="00000000" w:usb2="00000000"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9B0C4BD">
    <w:pPr>
      <w:pStyle w:val="5"/>
    </w:pPr>
    <w:r>
      <w:rPr>
        <w:sz w:val="18"/>
      </w:rP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12700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05F14DF5">
                          <w:pPr>
                            <w:pStyle w:val="5"/>
                            <w:rPr>
                              <w:rFonts w:ascii="宋体" w:hAnsi="宋体" w:eastAsia="宋体"/>
                              <w:sz w:val="28"/>
                            </w:rPr>
                          </w:pPr>
                          <w:r>
                            <w:rPr>
                              <w:rFonts w:ascii="宋体" w:hAnsi="宋体" w:eastAsia="宋体"/>
                              <w:sz w:val="28"/>
                            </w:rPr>
                            <w:t>—</w:t>
                          </w:r>
                          <w:r>
                            <w:rPr>
                              <w:rFonts w:ascii="宋体" w:hAnsi="宋体" w:eastAsia="宋体"/>
                              <w:sz w:val="24"/>
                            </w:rPr>
                            <w:t xml:space="preserve"> </w:t>
                          </w:r>
                          <w:r>
                            <w:rPr>
                              <w:rFonts w:ascii="宋体" w:hAnsi="宋体" w:eastAsia="宋体"/>
                              <w:sz w:val="28"/>
                            </w:rPr>
                            <w:fldChar w:fldCharType="begin"/>
                          </w:r>
                          <w:r>
                            <w:rPr>
                              <w:rFonts w:ascii="宋体" w:hAnsi="宋体" w:eastAsia="宋体"/>
                              <w:sz w:val="28"/>
                            </w:rPr>
                            <w:instrText xml:space="preserve"> PAGE  \* MERGEFORMAT </w:instrText>
                          </w:r>
                          <w:r>
                            <w:rPr>
                              <w:rFonts w:ascii="宋体" w:hAnsi="宋体" w:eastAsia="宋体"/>
                              <w:sz w:val="28"/>
                            </w:rPr>
                            <w:fldChar w:fldCharType="separate"/>
                          </w:r>
                          <w:r>
                            <w:rPr>
                              <w:rFonts w:ascii="宋体" w:hAnsi="宋体" w:eastAsia="宋体"/>
                              <w:sz w:val="28"/>
                            </w:rPr>
                            <w:t>1</w:t>
                          </w:r>
                          <w:r>
                            <w:rPr>
                              <w:rFonts w:ascii="宋体" w:hAnsi="宋体" w:eastAsia="宋体"/>
                              <w:sz w:val="28"/>
                            </w:rPr>
                            <w:fldChar w:fldCharType="end"/>
                          </w:r>
                          <w:r>
                            <w:rPr>
                              <w:rFonts w:ascii="宋体" w:hAnsi="宋体" w:eastAsia="宋体"/>
                              <w:sz w:val="24"/>
                            </w:rPr>
                            <w:t xml:space="preserve"> </w:t>
                          </w:r>
                          <w:r>
                            <w:rPr>
                              <w:rFonts w:ascii="宋体" w:hAnsi="宋体" w:eastAsia="宋体"/>
                              <w:sz w:val="28"/>
                            </w:rPr>
                            <w:t>—</w:t>
                          </w:r>
                        </w:p>
                      </w:txbxContent>
                    </wps:txbx>
                    <wps:bodyPr rot="0" spcFirstLastPara="0" vertOverflow="overflow" horzOverflow="overflow" vert="horz" wrap="none" lIns="203200" tIns="0" rIns="20320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1pt;height:144pt;width:144pt;mso-position-horizontal:outside;mso-position-horizontal-relative:margin;mso-wrap-style:none;z-index:251659264;mso-width-relative:page;mso-height-relative:page;" filled="f" stroked="f" coordsize="21600,21600" o:gfxdata="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">
              <v:fill on="f" focussize="0,0"/>
              <v:stroke on="f" weight="0.5pt"/>
              <v:imagedata o:title=""/>
              <o:lock v:ext="edit" aspectratio="f"/>
              <v:textbox inset="16pt,0mm,16pt,0mm" style="mso-fit-shape-to-text:t;">
                <w:txbxContent>
                  <w:p w14:paraId="05F14DF5">
                    <w:pPr>
                      <w:pStyle w:val="5"/>
                      <w:rPr>
                        <w:rFonts w:ascii="宋体" w:hAnsi="宋体" w:eastAsia="宋体"/>
                        <w:sz w:val="28"/>
                      </w:rPr>
                    </w:pPr>
                    <w:r>
                      <w:rPr>
                        <w:rFonts w:ascii="宋体" w:hAnsi="宋体" w:eastAsia="宋体"/>
                        <w:sz w:val="28"/>
                      </w:rPr>
                      <w:t>—</w:t>
                    </w:r>
                    <w:r>
                      <w:rPr>
                        <w:rFonts w:ascii="宋体" w:hAnsi="宋体" w:eastAsia="宋体"/>
                        <w:sz w:val="24"/>
                      </w:rPr>
                      <w:t xml:space="preserve"> </w:t>
                    </w:r>
                    <w:r>
                      <w:rPr>
                        <w:rFonts w:ascii="宋体" w:hAnsi="宋体" w:eastAsia="宋体"/>
                        <w:sz w:val="28"/>
                      </w:rPr>
                      <w:fldChar w:fldCharType="begin"/>
                    </w:r>
                    <w:r>
                      <w:rPr>
                        <w:rFonts w:ascii="宋体" w:hAnsi="宋体" w:eastAsia="宋体"/>
                        <w:sz w:val="28"/>
                      </w:rPr>
                      <w:instrText xml:space="preserve"> PAGE  \* MERGEFORMAT </w:instrText>
                    </w:r>
                    <w:r>
                      <w:rPr>
                        <w:rFonts w:ascii="宋体" w:hAnsi="宋体" w:eastAsia="宋体"/>
                        <w:sz w:val="28"/>
                      </w:rPr>
                      <w:fldChar w:fldCharType="separate"/>
                    </w:r>
                    <w:r>
                      <w:rPr>
                        <w:rFonts w:ascii="宋体" w:hAnsi="宋体" w:eastAsia="宋体"/>
                        <w:sz w:val="28"/>
                      </w:rPr>
                      <w:t>1</w:t>
                    </w:r>
                    <w:r>
                      <w:rPr>
                        <w:rFonts w:ascii="宋体" w:hAnsi="宋体" w:eastAsia="宋体"/>
                        <w:sz w:val="28"/>
                      </w:rPr>
                      <w:fldChar w:fldCharType="end"/>
                    </w:r>
                    <w:r>
                      <w:rPr>
                        <w:rFonts w:ascii="宋体" w:hAnsi="宋体" w:eastAsia="宋体"/>
                        <w:sz w:val="24"/>
                      </w:rPr>
                      <w:t xml:space="preserve"> </w:t>
                    </w:r>
                    <w:r>
                      <w:rPr>
                        <w:rFonts w:ascii="宋体" w:hAnsi="宋体" w:eastAsia="宋体"/>
                        <w:sz w:val="28"/>
                      </w:rPr>
                      <w:t>—</w:t>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DFF1BE5">
    <w:pPr>
      <w:pStyle w:val="5"/>
    </w:pPr>
    <w:r>
      <w:rPr>
        <w:sz w:val="18"/>
      </w:rPr>
      <mc:AlternateContent>
        <mc:Choice Requires="wps">
          <w:drawing>
            <wp:anchor distT="0" distB="0" distL="114300" distR="114300" simplePos="0" relativeHeight="251660288" behindDoc="0" locked="0" layoutInCell="1" allowOverlap="1">
              <wp:simplePos x="0" y="0"/>
              <wp:positionH relativeFrom="margin">
                <wp:align>outside</wp:align>
              </wp:positionH>
              <wp:positionV relativeFrom="paragraph">
                <wp:posOffset>12700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2F3EA526">
                          <w:pPr>
                            <w:pStyle w:val="5"/>
                            <w:rPr>
                              <w:rFonts w:ascii="宋体" w:hAnsi="宋体" w:eastAsia="宋体"/>
                              <w:sz w:val="28"/>
                            </w:rPr>
                          </w:pPr>
                          <w:r>
                            <w:rPr>
                              <w:rFonts w:ascii="宋体" w:hAnsi="宋体" w:eastAsia="宋体"/>
                              <w:sz w:val="28"/>
                            </w:rPr>
                            <w:t>—</w:t>
                          </w:r>
                          <w:r>
                            <w:rPr>
                              <w:rFonts w:ascii="宋体" w:hAnsi="宋体" w:eastAsia="宋体"/>
                              <w:sz w:val="24"/>
                            </w:rPr>
                            <w:t xml:space="preserve"> </w:t>
                          </w:r>
                          <w:r>
                            <w:rPr>
                              <w:rFonts w:ascii="宋体" w:hAnsi="宋体" w:eastAsia="宋体"/>
                              <w:sz w:val="28"/>
                            </w:rPr>
                            <w:fldChar w:fldCharType="begin"/>
                          </w:r>
                          <w:r>
                            <w:rPr>
                              <w:rFonts w:ascii="宋体" w:hAnsi="宋体" w:eastAsia="宋体"/>
                              <w:sz w:val="28"/>
                            </w:rPr>
                            <w:instrText xml:space="preserve"> PAGE  \* MERGEFORMAT </w:instrText>
                          </w:r>
                          <w:r>
                            <w:rPr>
                              <w:rFonts w:ascii="宋体" w:hAnsi="宋体" w:eastAsia="宋体"/>
                              <w:sz w:val="28"/>
                            </w:rPr>
                            <w:fldChar w:fldCharType="separate"/>
                          </w:r>
                          <w:r>
                            <w:rPr>
                              <w:rFonts w:ascii="宋体" w:hAnsi="宋体" w:eastAsia="宋体"/>
                              <w:sz w:val="28"/>
                            </w:rPr>
                            <w:t>2</w:t>
                          </w:r>
                          <w:r>
                            <w:rPr>
                              <w:rFonts w:ascii="宋体" w:hAnsi="宋体" w:eastAsia="宋体"/>
                              <w:sz w:val="28"/>
                            </w:rPr>
                            <w:fldChar w:fldCharType="end"/>
                          </w:r>
                          <w:r>
                            <w:rPr>
                              <w:rFonts w:ascii="宋体" w:hAnsi="宋体" w:eastAsia="宋体"/>
                              <w:sz w:val="24"/>
                            </w:rPr>
                            <w:t xml:space="preserve"> </w:t>
                          </w:r>
                          <w:r>
                            <w:rPr>
                              <w:rFonts w:ascii="宋体" w:hAnsi="宋体" w:eastAsia="宋体"/>
                              <w:sz w:val="28"/>
                            </w:rPr>
                            <w:t>—</w:t>
                          </w:r>
                        </w:p>
                      </w:txbxContent>
                    </wps:txbx>
                    <wps:bodyPr rot="0" spcFirstLastPara="0" vertOverflow="overflow" horzOverflow="overflow" vert="horz" wrap="none" lIns="203200" tIns="0" rIns="20320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1pt;height:144pt;width:144pt;mso-position-horizontal:outside;mso-position-horizontal-relative:margin;mso-wrap-style:none;z-index:251660288;mso-width-relative:page;mso-height-relative:page;" filled="f" stroked="f" coordsize="21600,21600" o:gfxdata="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">
              <v:fill on="f" focussize="0,0"/>
              <v:stroke on="f" weight="0.5pt"/>
              <v:imagedata o:title=""/>
              <o:lock v:ext="edit" aspectratio="f"/>
              <v:textbox inset="16pt,0mm,16pt,0mm" style="mso-fit-shape-to-text:t;">
                <w:txbxContent>
                  <w:p w14:paraId="2F3EA526">
                    <w:pPr>
                      <w:pStyle w:val="5"/>
                      <w:rPr>
                        <w:rFonts w:ascii="宋体" w:hAnsi="宋体" w:eastAsia="宋体"/>
                        <w:sz w:val="28"/>
                      </w:rPr>
                    </w:pPr>
                    <w:r>
                      <w:rPr>
                        <w:rFonts w:ascii="宋体" w:hAnsi="宋体" w:eastAsia="宋体"/>
                        <w:sz w:val="28"/>
                      </w:rPr>
                      <w:t>—</w:t>
                    </w:r>
                    <w:r>
                      <w:rPr>
                        <w:rFonts w:ascii="宋体" w:hAnsi="宋体" w:eastAsia="宋体"/>
                        <w:sz w:val="24"/>
                      </w:rPr>
                      <w:t xml:space="preserve"> </w:t>
                    </w:r>
                    <w:r>
                      <w:rPr>
                        <w:rFonts w:ascii="宋体" w:hAnsi="宋体" w:eastAsia="宋体"/>
                        <w:sz w:val="28"/>
                      </w:rPr>
                      <w:fldChar w:fldCharType="begin"/>
                    </w:r>
                    <w:r>
                      <w:rPr>
                        <w:rFonts w:ascii="宋体" w:hAnsi="宋体" w:eastAsia="宋体"/>
                        <w:sz w:val="28"/>
                      </w:rPr>
                      <w:instrText xml:space="preserve"> PAGE  \* MERGEFORMAT </w:instrText>
                    </w:r>
                    <w:r>
                      <w:rPr>
                        <w:rFonts w:ascii="宋体" w:hAnsi="宋体" w:eastAsia="宋体"/>
                        <w:sz w:val="28"/>
                      </w:rPr>
                      <w:fldChar w:fldCharType="separate"/>
                    </w:r>
                    <w:r>
                      <w:rPr>
                        <w:rFonts w:ascii="宋体" w:hAnsi="宋体" w:eastAsia="宋体"/>
                        <w:sz w:val="28"/>
                      </w:rPr>
                      <w:t>2</w:t>
                    </w:r>
                    <w:r>
                      <w:rPr>
                        <w:rFonts w:ascii="宋体" w:hAnsi="宋体" w:eastAsia="宋体"/>
                        <w:sz w:val="28"/>
                      </w:rPr>
                      <w:fldChar w:fldCharType="end"/>
                    </w:r>
                    <w:r>
                      <w:rPr>
                        <w:rFonts w:ascii="宋体" w:hAnsi="宋体" w:eastAsia="宋体"/>
                        <w:sz w:val="24"/>
                      </w:rPr>
                      <w:t xml:space="preserve"> </w:t>
                    </w:r>
                    <w:r>
                      <w:rPr>
                        <w:rFonts w:ascii="宋体" w:hAnsi="宋体" w:eastAsia="宋体"/>
                        <w:sz w:val="28"/>
                      </w:rPr>
                      <w:t>—</w:t>
                    </w:r>
                  </w:p>
                </w:txbxContent>
              </v:textbox>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240" w:lineRule="auto"/>
      </w:pPr>
      <w:r>
        <w:separator/>
      </w:r>
    </w:p>
  </w:footnote>
  <w:footnote w:type="continuationSeparator" w:id="1">
    <w:p>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DE631DA">
    <w:pPr>
      <w:pStyle w:val="6"/>
      <w:pBdr>
        <w:bottom w:val="none" w:color="auto" w:sz="0" w:space="1"/>
      </w:pBd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07AD377">
    <w:pPr>
      <w:pStyle w:val="6"/>
      <w:pBdr>
        <w:bottom w:val="none" w:color="auto" w:sz="0" w:space="1"/>
      </w:pBd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589B1A9D"/>
    <w:rsid w:val="589B1A9D"/>
    <w:rsid w:val="722E3D6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spacing w:line="240" w:lineRule="auto"/>
      <w:jc w:val="both"/>
    </w:pPr>
    <w:rPr>
      <w:rFonts w:ascii="仿宋_GB2312" w:hAnsi="仿宋_GB2312" w:eastAsia="仿宋_GB2312" w:cs="Times New Roman"/>
      <w:spacing w:val="-6"/>
      <w:kern w:val="2"/>
      <w:sz w:val="32"/>
      <w:szCs w:val="32"/>
      <w:lang w:val="en-US" w:eastAsia="zh-CN" w:bidi="ar-SA"/>
    </w:rPr>
  </w:style>
  <w:style w:type="paragraph" w:styleId="2">
    <w:name w:val="heading 1"/>
    <w:next w:val="1"/>
    <w:qFormat/>
    <w:uiPriority w:val="0"/>
    <w:pPr>
      <w:keepNext/>
      <w:keepLines/>
      <w:spacing w:beforeLines="0" w:beforeAutospacing="0" w:afterLines="0" w:afterAutospacing="0" w:line="560" w:lineRule="exact"/>
      <w:ind w:firstLine="894" w:firstLineChars="200"/>
      <w:outlineLvl w:val="0"/>
    </w:pPr>
    <w:rPr>
      <w:rFonts w:ascii="黑体" w:hAnsi="黑体" w:eastAsia="黑体" w:cs="黑体"/>
      <w:kern w:val="44"/>
      <w:sz w:val="32"/>
      <w:szCs w:val="32"/>
    </w:rPr>
  </w:style>
  <w:style w:type="paragraph" w:styleId="3">
    <w:name w:val="heading 2"/>
    <w:next w:val="1"/>
    <w:link w:val="9"/>
    <w:unhideWhenUsed/>
    <w:qFormat/>
    <w:uiPriority w:val="0"/>
    <w:pPr>
      <w:keepNext/>
      <w:keepLines/>
      <w:spacing w:beforeLines="0" w:beforeAutospacing="0" w:afterLines="0" w:afterAutospacing="0" w:line="560" w:lineRule="exact"/>
      <w:ind w:firstLine="894" w:firstLineChars="200"/>
      <w:outlineLvl w:val="1"/>
    </w:pPr>
    <w:rPr>
      <w:rFonts w:ascii="Times New Roman" w:hAnsi="Times New Roman" w:eastAsia="楷体_GB2312" w:cs="楷体_GB2312"/>
      <w:sz w:val="32"/>
      <w:szCs w:val="32"/>
    </w:rPr>
  </w:style>
  <w:style w:type="character" w:default="1" w:styleId="8">
    <w:name w:val="Default Paragraph Font"/>
    <w:semiHidden/>
    <w:qFormat/>
    <w:uiPriority w:val="0"/>
  </w:style>
  <w:style w:type="table" w:default="1" w:styleId="7">
    <w:name w:val="Normal Table"/>
    <w:semiHidden/>
    <w:qFormat/>
    <w:uiPriority w:val="0"/>
    <w:tblPr>
      <w:tblCellMar>
        <w:top w:w="0" w:type="dxa"/>
        <w:left w:w="108" w:type="dxa"/>
        <w:bottom w:w="0" w:type="dxa"/>
        <w:right w:w="108" w:type="dxa"/>
      </w:tblCellMar>
    </w:tblPr>
  </w:style>
  <w:style w:type="paragraph" w:styleId="4">
    <w:name w:val="Body Text"/>
    <w:qFormat/>
    <w:uiPriority w:val="0"/>
    <w:pPr>
      <w:spacing w:line="560" w:lineRule="exact"/>
      <w:ind w:firstLine="630" w:firstLineChars="200"/>
      <w:jc w:val="both"/>
    </w:pPr>
    <w:rPr>
      <w:rFonts w:ascii="Times New Roman" w:hAnsi="Times New Roman" w:eastAsia="仿宋_GB2312" w:cs="仿宋_GB2312"/>
      <w:spacing w:val="-6"/>
      <w:sz w:val="32"/>
      <w:szCs w:val="32"/>
    </w:rPr>
  </w:style>
  <w:style w:type="paragraph" w:styleId="5">
    <w:name w:val="footer"/>
    <w:basedOn w:val="1"/>
    <w:qFormat/>
    <w:uiPriority w:val="0"/>
    <w:pPr>
      <w:tabs>
        <w:tab w:val="center" w:pos="4153"/>
        <w:tab w:val="right" w:pos="8306"/>
      </w:tabs>
      <w:snapToGrid w:val="0"/>
      <w:jc w:val="left"/>
    </w:pPr>
    <w:rPr>
      <w:sz w:val="18"/>
    </w:rPr>
  </w:style>
  <w:style w:type="paragraph" w:styleId="6">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character" w:customStyle="1" w:styleId="9">
    <w:name w:val="标题 2 Char"/>
    <w:link w:val="3"/>
    <w:qFormat/>
    <w:uiPriority w:val="0"/>
    <w:rPr>
      <w:rFonts w:ascii="Times New Roman" w:hAnsi="Times New Roman" w:eastAsia="楷体_GB2312" w:cs="楷体_GB2312"/>
      <w:sz w:val="32"/>
      <w:szCs w:val="32"/>
    </w:rPr>
  </w:style>
</w:styles>
</file>

<file path=word/_rels/document.xml.rels><?xml version="1.0" encoding="UTF-8" standalone="yes"?>
<Relationships xmlns="http://schemas.openxmlformats.org/package/2006/relationships"><Relationship Id="rId9" Type="http://schemas.openxmlformats.org/officeDocument/2006/relationships/theme" Target="theme/theme1.xml"/><Relationship Id="rId8" Type="http://schemas.openxmlformats.org/officeDocument/2006/relationships/footer" Target="footer2.xml"/><Relationship Id="rId7" Type="http://schemas.openxmlformats.org/officeDocument/2006/relationships/footer" Target="footer1.xml"/><Relationship Id="rId6" Type="http://schemas.openxmlformats.org/officeDocument/2006/relationships/header" Target="header2.xml"/><Relationship Id="rId5" Type="http://schemas.openxmlformats.org/officeDocument/2006/relationships/header" Target="head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1" Type="http://schemas.openxmlformats.org/officeDocument/2006/relationships/fontTable" Target="fontTable.xml"/><Relationship Id="rId10" Type="http://schemas.openxmlformats.org/officeDocument/2006/relationships/customXml" Target="../customXml/item1.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7</Pages>
  <Words>0</Words>
  <Characters>0</Characters>
  <Lines>0</Lines>
  <Paragraphs>0</Paragraphs>
  <TotalTime>2</TotalTime>
  <ScaleCrop>false</ScaleCrop>
  <LinksUpToDate>false</LinksUpToDate>
  <CharactersWithSpaces>0</CharactersWithSpaces>
  <Application>WPS Office_12.1.0.26884_F1E327BC-269C-435d-A152-05C5408002CA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2026-07-27T07:20:00Z</dcterms:created>
  <dc:creator>Administrator</dc:creator>
  <cp:lastModifiedBy>Administrator</cp:lastModifiedBy>
  <cp:lastPrinted>2026-07-27T08:05:43Z</cp:lastPrinted>
  <dcterms:modified xsi:type="dcterms:W3CDTF">2026-07-27T08:07:20Z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2052-12.1.0.26884</vt:lpwstr>
  </property>
  <property fmtid="{D5CDD505-2E9C-101B-9397-08002B2CF9AE}" pid="3" name="ICV">
    <vt:lpwstr>9F312A14190E42A29313B1985D1FEF82_13</vt:lpwstr>
  </property>
  <property fmtid="{D5CDD505-2E9C-101B-9397-08002B2CF9AE}" pid="4" name="KSOTemplateDocerSaveRecord">
    <vt:lpwstr>eyJoZGlkIjoiOGY1ZjM4M2E3ODM5YWNkNjMwODk1NTgwYzIwZjI3NDQiLCJ1c2VySWQiOiI0NjI2MjYzNzIifQ==</vt:lpwstr>
  </property>
</Properties>
</file>