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46CA1">
      <w:pPr>
        <w:pStyle w:val="16"/>
        <w:widowControl/>
        <w:shd w:val="clear" w:fill="FFFFFF"/>
        <w:jc w:val="center"/>
        <w:rPr>
          <w:rFonts w:hint="eastAsia" w:eastAsia="方正小标宋简体"/>
          <w:lang w:val="en-US" w:eastAsia="zh-CN"/>
        </w:rPr>
      </w:pPr>
      <w:bookmarkStart w:id="0" w:name="_GoBack"/>
      <mc:AlternateContent>
        <mc:Choice Requires="wpsCustomData">
          <wpsCustomData:docfieldStart id="0" docfieldname="标题_1" hidden="0" print="1" readonly="0" index="5"/>
        </mc:Choice>
      </mc:AlternateContent>
      <w:r>
        <w:t>巴彦淖尔市医院固定资产出租项目</w:t>
      </w:r>
      <w:r>
        <w:br w:type="textWrapping"/>
      </w:r>
      <w:r>
        <w:t>拍卖服务供应商遴选</w:t>
      </w:r>
      <w:r>
        <w:rPr>
          <w:rFonts w:hint="eastAsia"/>
          <w:lang w:val="en-US" w:eastAsia="zh-CN"/>
        </w:rPr>
        <w:t>文件</w:t>
      </w:r>
      <mc:AlternateContent>
        <mc:Choice Requires="wpsCustomData">
          <wpsCustomData:docfieldEnd id="0"/>
        </mc:Choice>
      </mc:AlternateContent>
    </w:p>
    <w:bookmarkEnd w:id="0"/>
    <w:p w14:paraId="35CB02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 w:line="240" w:lineRule="auto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</w:p>
    <w:p w14:paraId="0A951069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leftChars="0" w:right="0" w:firstLine="0" w:firstLineChars="0"/>
        <w:jc w:val="center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hd w:val="clear" w:fill="FFFFFF"/>
        </w:rPr>
        <w:t>第二章 供应商须知</w:t>
      </w:r>
    </w:p>
    <w:tbl>
      <w:tblPr>
        <w:tblStyle w:val="17"/>
        <w:tblW w:w="8844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4"/>
        <w:gridCol w:w="1423"/>
        <w:gridCol w:w="6577"/>
      </w:tblGrid>
      <w:tr w14:paraId="49DFF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629987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  <w:lang w:val="en-US" w:eastAsia="zh-CN"/>
              </w:rPr>
              <w:t>条款号</w:t>
            </w:r>
          </w:p>
        </w:tc>
        <w:tc>
          <w:tcPr>
            <w:tcW w:w="1145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5157EC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  <w:lang w:val="en-US" w:eastAsia="zh-CN"/>
              </w:rPr>
              <w:t>内容</w:t>
            </w:r>
          </w:p>
        </w:tc>
        <w:tc>
          <w:tcPr>
            <w:tcW w:w="7010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0F43DCF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  <w:lang w:val="en-US" w:eastAsia="zh-CN"/>
              </w:rPr>
              <w:t>说明与要求</w:t>
            </w:r>
          </w:p>
        </w:tc>
      </w:tr>
      <w:tr w14:paraId="2DAAC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720252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5C3986B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采购人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4B79D9A6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巴彦淖尔市医院</w:t>
            </w:r>
          </w:p>
        </w:tc>
      </w:tr>
      <w:tr w14:paraId="01115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786021A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282116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项目名称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5C4A135E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固定资产出租项目拍卖服务供应商遴选</w:t>
            </w:r>
          </w:p>
        </w:tc>
      </w:tr>
      <w:tr w14:paraId="03653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545A21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3BB2C6D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服务地点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28394CFC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巴彦淖尔市医院指定地点</w:t>
            </w:r>
          </w:p>
        </w:tc>
      </w:tr>
      <w:tr w14:paraId="40AD4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115200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2FE064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供应商资格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1542338E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见第一章公告</w:t>
            </w:r>
          </w:p>
        </w:tc>
      </w:tr>
      <w:tr w14:paraId="77D13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68C89AD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433543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响应文件有效期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5FE2FE09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自递交截止之日起90日历天</w:t>
            </w:r>
          </w:p>
        </w:tc>
      </w:tr>
      <w:tr w14:paraId="134CF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66646BE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212BEBA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响应文件份数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2CB89AB7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正本1份，副本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default"/>
                <w:lang w:val="en-US" w:eastAsia="zh-CN"/>
              </w:rPr>
              <w:t>份</w:t>
            </w:r>
          </w:p>
        </w:tc>
      </w:tr>
      <w:tr w14:paraId="2C704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105EC89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18B95DD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报价要求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268783C8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报价不得高于3000元。</w:t>
            </w:r>
          </w:p>
        </w:tc>
      </w:tr>
      <w:tr w14:paraId="47F1E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6C8934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335CD5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现场踏勘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2FB46F86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不组织，供应商自行了解资产情况</w:t>
            </w:r>
          </w:p>
        </w:tc>
      </w:tr>
      <w:tr w14:paraId="78355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5EFADB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00C9EA2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答疑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0FABAF8C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如有疑问在遴选文件截止日期前</w:t>
            </w:r>
            <w:r>
              <w:rPr>
                <w:rFonts w:hint="default"/>
                <w:lang w:val="en-US" w:eastAsia="zh-CN"/>
              </w:rPr>
              <w:t>书面形式递交至采购人联系人</w:t>
            </w:r>
            <w:r>
              <w:rPr>
                <w:rFonts w:hint="eastAsia"/>
                <w:lang w:val="en-US" w:eastAsia="zh-CN"/>
              </w:rPr>
              <w:t>，采购联系人进行答疑，在遴选文件截止日期后不进行任何本项目的问题答疑。</w:t>
            </w:r>
          </w:p>
        </w:tc>
      </w:tr>
      <w:tr w14:paraId="5668A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695F731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5A2A2EA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评审方法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054F2851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综合评分法（详见第三章）</w:t>
            </w:r>
          </w:p>
        </w:tc>
      </w:tr>
      <w:tr w14:paraId="181C1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01E8932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4BF4CF9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响应文件的编制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55F592CE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1.响应文件须加盖供应商公章及法定代表人或授权代表签字。</w:t>
            </w:r>
          </w:p>
          <w:p w14:paraId="270D5E51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2.密封袋正面注明：项目名称、供应商名称、联系人及电话；</w:t>
            </w:r>
          </w:p>
          <w:p w14:paraId="638FCD38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3.封口处加盖供应商公章。</w:t>
            </w:r>
          </w:p>
        </w:tc>
      </w:tr>
      <w:tr w14:paraId="085EC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3B9A072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4ABB9C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是否允许联合体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2EC26B2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不允许</w:t>
            </w:r>
          </w:p>
        </w:tc>
      </w:tr>
      <w:tr w14:paraId="0F936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90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4C1D27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767601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分包</w:t>
            </w:r>
          </w:p>
        </w:tc>
        <w:tc>
          <w:tcPr>
            <w:tcW w:w="70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4BF11E14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不允许</w:t>
            </w:r>
          </w:p>
        </w:tc>
      </w:tr>
    </w:tbl>
    <w:p w14:paraId="25871263">
      <w:pPr>
        <w:pStyle w:val="20"/>
        <w:numPr>
          <w:ilvl w:val="0"/>
          <w:numId w:val="0"/>
        </w:numPr>
        <w:topLinePunct w:val="0"/>
        <w:ind w:left="0" w:leftChars="0" w:firstLine="640"/>
        <w:rPr>
          <w:rFonts w:hint="eastAsia"/>
          <w:lang w:eastAsia="zh-CN"/>
        </w:rPr>
      </w:pPr>
    </w:p>
    <w:p w14:paraId="2A504BD0">
      <w:pPr>
        <w:rPr>
          <w:rFonts w:hint="eastAsia"/>
          <w:lang w:eastAsia="zh-CN"/>
        </w:rPr>
      </w:pPr>
    </w:p>
    <w:p w14:paraId="5076F40A">
      <w:pPr>
        <w:rPr>
          <w:rFonts w:hint="eastAsia"/>
          <w:lang w:eastAsia="zh-CN"/>
        </w:rPr>
      </w:pPr>
    </w:p>
    <w:p w14:paraId="0C7975F2">
      <w:pPr>
        <w:bidi w:val="0"/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第三章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评审方法及标准</w:t>
      </w:r>
    </w:p>
    <w:p w14:paraId="2FB65C80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一、评审原则</w:t>
      </w:r>
    </w:p>
    <w:p w14:paraId="59F054DA">
      <w:pPr>
        <w:pStyle w:val="1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公平、公正、科学、择优。</w:t>
      </w:r>
    </w:p>
    <w:p w14:paraId="3523FAC7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评审程序</w:t>
      </w:r>
    </w:p>
    <w:p w14:paraId="218014D5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16" w:firstLineChars="200"/>
        <w:textAlignment w:val="auto"/>
        <w:rPr>
          <w:rFonts w:hint="eastAsia" w:ascii="仿宋_GB2312" w:hAnsi="仿宋_GB2312" w:eastAsia="仿宋_GB2312" w:cs="仿宋_GB2312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-6"/>
          <w:kern w:val="2"/>
          <w:sz w:val="32"/>
          <w:szCs w:val="32"/>
          <w:lang w:val="en-US" w:eastAsia="zh-CN" w:bidi="ar-SA"/>
        </w:rPr>
        <w:t>1.资格性审查；2.综合评分；3.推荐成交候选人。</w:t>
      </w:r>
    </w:p>
    <w:p w14:paraId="2340D95F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黑体" w:hAnsi="黑体" w:eastAsia="黑体" w:cs="黑体"/>
          <w:b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sz w:val="32"/>
          <w:szCs w:val="32"/>
          <w:lang w:eastAsia="zh-CN"/>
        </w:rPr>
        <w:t>三、资格性审查</w:t>
      </w:r>
    </w:p>
    <w:tbl>
      <w:tblPr>
        <w:tblStyle w:val="17"/>
        <w:tblW w:w="88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9"/>
        <w:gridCol w:w="2354"/>
        <w:gridCol w:w="5701"/>
      </w:tblGrid>
      <w:tr w14:paraId="14CB1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5170B0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lang w:val="en-US" w:eastAsia="zh-CN"/>
              </w:rPr>
            </w:pPr>
            <w:r>
              <w:rPr>
                <w:rFonts w:hint="default"/>
                <w:b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4F3E6BB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lang w:val="en-US" w:eastAsia="zh-CN"/>
              </w:rPr>
            </w:pPr>
            <w:r>
              <w:rPr>
                <w:rFonts w:hint="default"/>
                <w:b/>
                <w:lang w:val="en-US" w:eastAsia="zh-CN"/>
              </w:rPr>
              <w:t>审查项目</w:t>
            </w:r>
          </w:p>
        </w:tc>
        <w:tc>
          <w:tcPr>
            <w:tcW w:w="5701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15DD05E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lang w:val="en-US" w:eastAsia="zh-CN"/>
              </w:rPr>
            </w:pPr>
            <w:r>
              <w:rPr>
                <w:rFonts w:hint="default"/>
                <w:b/>
                <w:lang w:val="en-US" w:eastAsia="zh-CN"/>
              </w:rPr>
              <w:t>合格条件</w:t>
            </w:r>
          </w:p>
        </w:tc>
      </w:tr>
      <w:tr w14:paraId="0782C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0880E2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10934F9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营业执照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4A646826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有效，经营范围包含拍卖</w:t>
            </w:r>
          </w:p>
        </w:tc>
      </w:tr>
      <w:tr w14:paraId="2FCFB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76D711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60C7B6F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拍卖经营批准证书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5286F833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有效</w:t>
            </w:r>
          </w:p>
        </w:tc>
      </w:tr>
      <w:tr w14:paraId="375B2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0C008D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6146F13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信用记录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2ECCED23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“信用中国”无不良记录（提供查询截图或声明）</w:t>
            </w:r>
          </w:p>
        </w:tc>
      </w:tr>
    </w:tbl>
    <w:p w14:paraId="321D29DC">
      <w:pPr>
        <w:ind w:firstLine="640" w:firstLineChars="200"/>
        <w:rPr>
          <w:rFonts w:hint="eastAsia"/>
          <w:lang w:eastAsia="zh-CN"/>
        </w:rPr>
      </w:pPr>
      <w:r>
        <w:rPr>
          <w:rFonts w:hint="eastAsia" w:ascii="黑体" w:hAnsi="黑体" w:eastAsia="黑体" w:cs="黑体"/>
          <w:b w:val="0"/>
          <w:sz w:val="32"/>
          <w:szCs w:val="32"/>
          <w:lang w:eastAsia="zh-CN"/>
        </w:rPr>
        <w:t>四、综合评分（</w:t>
      </w:r>
      <w:r>
        <w:rPr>
          <w:rFonts w:hint="eastAsia" w:ascii="黑体" w:hAnsi="黑体" w:eastAsia="黑体" w:cs="黑体"/>
          <w:b w:val="0"/>
          <w:sz w:val="32"/>
          <w:szCs w:val="32"/>
          <w:lang w:val="en-US" w:eastAsia="zh-CN"/>
        </w:rPr>
        <w:t>70分</w:t>
      </w:r>
      <w:r>
        <w:rPr>
          <w:rFonts w:hint="eastAsia" w:ascii="黑体" w:hAnsi="黑体" w:eastAsia="黑体" w:cs="黑体"/>
          <w:b w:val="0"/>
          <w:sz w:val="32"/>
          <w:szCs w:val="32"/>
          <w:lang w:eastAsia="zh-CN"/>
        </w:rPr>
        <w:t>）</w:t>
      </w:r>
    </w:p>
    <w:tbl>
      <w:tblPr>
        <w:tblStyle w:val="17"/>
        <w:tblW w:w="8844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3"/>
        <w:gridCol w:w="561"/>
        <w:gridCol w:w="7140"/>
      </w:tblGrid>
      <w:tr w14:paraId="7E004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</w:trPr>
        <w:tc>
          <w:tcPr>
            <w:tcW w:w="1143" w:type="dxa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1E67FC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评分项</w:t>
            </w:r>
          </w:p>
        </w:tc>
        <w:tc>
          <w:tcPr>
            <w:tcW w:w="561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68111D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分值</w:t>
            </w:r>
          </w:p>
        </w:tc>
        <w:tc>
          <w:tcPr>
            <w:tcW w:w="7140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144317E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评分标准</w:t>
            </w:r>
          </w:p>
        </w:tc>
      </w:tr>
      <w:tr w14:paraId="4F054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143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3AD889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lang w:val="en-US" w:eastAsia="zh-CN"/>
              </w:rPr>
            </w:pPr>
            <w:r>
              <w:rPr>
                <w:rFonts w:hint="default" w:ascii="Calibri" w:eastAsia="宋体"/>
                <w:sz w:val="21"/>
                <w:lang w:val="en-US" w:eastAsia="zh-CN"/>
              </w:rPr>
              <w:t>价格分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1DB9D6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lang w:val="en-US" w:eastAsia="zh-CN"/>
              </w:rPr>
              <w:t>20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分</w:t>
            </w:r>
          </w:p>
        </w:tc>
        <w:tc>
          <w:tcPr>
            <w:tcW w:w="71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13948E69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eastAsia="宋体"/>
                <w:sz w:val="21"/>
                <w:lang w:val="en-US" w:eastAsia="zh-CN"/>
              </w:rPr>
            </w:pPr>
            <w:r>
              <w:rPr>
                <w:rFonts w:hint="default" w:ascii="Calibri" w:eastAsia="宋体"/>
                <w:sz w:val="21"/>
                <w:lang w:val="en-US" w:eastAsia="zh-CN"/>
              </w:rPr>
              <w:t>以有效报价的最低佣金比例为基准价，报价得分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＝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基准价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／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报价×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20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。佣金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报价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超过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3000元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的无效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。</w:t>
            </w:r>
          </w:p>
        </w:tc>
      </w:tr>
      <w:tr w14:paraId="15EA6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143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3E9DF7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lang w:val="en-US" w:eastAsia="zh-CN"/>
              </w:rPr>
            </w:pPr>
            <w:r>
              <w:rPr>
                <w:rFonts w:hint="default" w:ascii="Calibri" w:eastAsia="宋体"/>
                <w:sz w:val="21"/>
                <w:lang w:val="en-US" w:eastAsia="zh-CN"/>
              </w:rPr>
              <w:t>服务方案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73D5882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lang w:val="en-US" w:eastAsia="zh-CN"/>
              </w:rPr>
              <w:t>2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0分</w:t>
            </w:r>
          </w:p>
        </w:tc>
        <w:tc>
          <w:tcPr>
            <w:tcW w:w="71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14BB2181">
            <w:pPr>
              <w:numPr>
                <w:ilvl w:val="0"/>
                <w:numId w:val="0"/>
              </w:numPr>
              <w:bidi w:val="0"/>
              <w:snapToGrid w:val="0"/>
              <w:ind w:leftChars="0" w:right="0" w:rightChars="0"/>
              <w:jc w:val="left"/>
              <w:rPr>
                <w:rFonts w:hint="default" w:ascii="Calibri" w:eastAsia="宋体"/>
                <w:sz w:val="21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lang w:val="en-US" w:eastAsia="zh-CN"/>
              </w:rPr>
              <w:t>1、根据拍卖标的拟定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拍卖流程、时间安排、组织保障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，有具体方案每项得3-4分，没有或泛泛而谈得0-2分，最高10分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；</w:t>
            </w:r>
          </w:p>
          <w:p w14:paraId="655E17F8">
            <w:pPr>
              <w:numPr>
                <w:ilvl w:val="0"/>
                <w:numId w:val="0"/>
              </w:numPr>
              <w:bidi w:val="0"/>
              <w:snapToGrid w:val="0"/>
              <w:ind w:leftChars="0" w:right="0" w:rightChars="0"/>
              <w:jc w:val="left"/>
              <w:rPr>
                <w:rFonts w:hint="default" w:ascii="Calibri" w:eastAsia="宋体"/>
                <w:sz w:val="21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lang w:val="en-US" w:eastAsia="zh-CN"/>
              </w:rPr>
              <w:t>2、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应急预案及异议处理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方案,有具体方案每项得3-4分，没有或泛泛而谈得0-2分，最高10分。</w:t>
            </w:r>
          </w:p>
        </w:tc>
      </w:tr>
      <w:tr w14:paraId="0031D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143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276115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lang w:val="en-US" w:eastAsia="zh-CN"/>
              </w:rPr>
            </w:pPr>
            <w:r>
              <w:rPr>
                <w:rFonts w:hint="default" w:ascii="Calibri" w:eastAsia="宋体"/>
                <w:sz w:val="21"/>
                <w:lang w:val="en-US" w:eastAsia="zh-CN"/>
              </w:rPr>
              <w:t>企业实力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31B36F2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lang w:val="en-US" w:eastAsia="zh-CN"/>
              </w:rPr>
              <w:t>10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分</w:t>
            </w:r>
          </w:p>
        </w:tc>
        <w:tc>
          <w:tcPr>
            <w:tcW w:w="71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3B283DCA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eastAsia="宋体"/>
                <w:sz w:val="21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lang w:val="en-US" w:eastAsia="zh-CN"/>
              </w:rPr>
              <w:t>1、国家注册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拍卖师（</w:t>
            </w:r>
            <w:r>
              <w:rPr>
                <w:rFonts w:ascii="Calibri" w:hAnsi="Segoe UI" w:eastAsia="宋体" w:cs="Segoe UI"/>
                <w:i w:val="0"/>
                <w:iCs w:val="0"/>
                <w:caps w:val="0"/>
                <w:color w:val="0F1115"/>
                <w:spacing w:val="0"/>
                <w:sz w:val="21"/>
                <w:szCs w:val="22"/>
                <w:shd w:val="clear" w:fill="FFFFFF"/>
              </w:rPr>
              <w:t>提供资格证书</w:t>
            </w:r>
            <w:r>
              <w:rPr>
                <w:rFonts w:hint="eastAsia" w:ascii="Calibri" w:hAnsi="Segoe UI" w:eastAsia="宋体" w:cs="Segoe UI"/>
                <w:i w:val="0"/>
                <w:iCs w:val="0"/>
                <w:caps w:val="0"/>
                <w:color w:val="0F1115"/>
                <w:spacing w:val="0"/>
                <w:sz w:val="21"/>
                <w:szCs w:val="22"/>
                <w:shd w:val="clear" w:fill="FFFFFF"/>
                <w:lang w:eastAsia="zh-CN"/>
              </w:rPr>
              <w:t>，至少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提供1名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国家注册拍卖师得5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分）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；2、承诺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免费提供租赁合同法律审核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得5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分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。</w:t>
            </w:r>
          </w:p>
        </w:tc>
      </w:tr>
      <w:tr w14:paraId="096EB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14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4B5471C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lang w:val="en-US" w:eastAsia="zh-CN"/>
              </w:rPr>
            </w:pPr>
            <w:r>
              <w:rPr>
                <w:rFonts w:hint="default" w:ascii="Calibri" w:eastAsia="宋体"/>
                <w:sz w:val="21"/>
                <w:lang w:val="en-US" w:eastAsia="zh-CN"/>
              </w:rPr>
              <w:t>业绩经验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722FA48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lang w:val="en-US" w:eastAsia="zh-CN"/>
              </w:rPr>
              <w:t>20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分</w:t>
            </w:r>
          </w:p>
        </w:tc>
        <w:tc>
          <w:tcPr>
            <w:tcW w:w="714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noWrap w:val="0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</w:tcPr>
          <w:p w14:paraId="1F3946C1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="Calibri" w:eastAsia="宋体"/>
                <w:sz w:val="21"/>
                <w:lang w:val="en-US" w:eastAsia="zh-CN"/>
              </w:rPr>
            </w:pPr>
            <w:r>
              <w:rPr>
                <w:rFonts w:ascii="Calibri" w:hAnsi="Segoe UI" w:eastAsia="宋体" w:cs="Segoe UI"/>
                <w:i w:val="0"/>
                <w:iCs w:val="0"/>
                <w:caps w:val="0"/>
                <w:color w:val="0F1115"/>
                <w:spacing w:val="0"/>
                <w:sz w:val="21"/>
                <w:szCs w:val="22"/>
                <w:shd w:val="clear" w:fill="FFFFFF"/>
              </w:rPr>
              <w:t>需提供</w:t>
            </w:r>
            <w:r>
              <w:rPr>
                <w:rFonts w:hint="eastAsia" w:ascii="Calibri" w:hAnsi="Segoe UI" w:eastAsia="宋体" w:cs="Segoe UI"/>
                <w:i w:val="0"/>
                <w:iCs w:val="0"/>
                <w:caps w:val="0"/>
                <w:color w:val="0F1115"/>
                <w:spacing w:val="0"/>
                <w:sz w:val="21"/>
                <w:szCs w:val="22"/>
                <w:shd w:val="clear" w:fill="FFFFFF"/>
                <w:lang w:eastAsia="zh-CN"/>
              </w:rPr>
              <w:t>上一年度（</w:t>
            </w:r>
            <w:r>
              <w:rPr>
                <w:rFonts w:hint="eastAsia" w:ascii="Calibri" w:hAnsi="Segoe UI" w:eastAsia="宋体" w:cs="Segoe UI"/>
                <w:i w:val="0"/>
                <w:iCs w:val="0"/>
                <w:caps w:val="0"/>
                <w:color w:val="0F1115"/>
                <w:spacing w:val="0"/>
                <w:sz w:val="21"/>
                <w:szCs w:val="22"/>
                <w:shd w:val="clear" w:fill="FFFFFF"/>
                <w:lang w:val="en-US" w:eastAsia="zh-CN"/>
              </w:rPr>
              <w:t>2025年度</w:t>
            </w:r>
            <w:r>
              <w:rPr>
                <w:rFonts w:hint="eastAsia" w:ascii="Calibri" w:hAnsi="Segoe UI" w:eastAsia="宋体" w:cs="Segoe UI"/>
                <w:i w:val="0"/>
                <w:iCs w:val="0"/>
                <w:caps w:val="0"/>
                <w:color w:val="0F1115"/>
                <w:spacing w:val="0"/>
                <w:sz w:val="21"/>
                <w:szCs w:val="22"/>
                <w:shd w:val="clear" w:fill="FFFFFF"/>
                <w:lang w:eastAsia="zh-CN"/>
              </w:rPr>
              <w:t>）</w:t>
            </w:r>
            <w:r>
              <w:rPr>
                <w:rFonts w:ascii="Calibri" w:hAnsi="Segoe UI" w:eastAsia="宋体" w:cs="Segoe UI"/>
                <w:i w:val="0"/>
                <w:iCs w:val="0"/>
                <w:caps w:val="0"/>
                <w:color w:val="0F1115"/>
                <w:spacing w:val="0"/>
                <w:sz w:val="21"/>
                <w:szCs w:val="22"/>
                <w:shd w:val="clear" w:fill="FFFFFF"/>
              </w:rPr>
              <w:t>拍卖成交确认书复印件。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每提供1个国有或事业单位资产拍卖业绩得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5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分，最高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20</w:t>
            </w:r>
            <w:r>
              <w:rPr>
                <w:rFonts w:hint="default" w:ascii="Calibri" w:eastAsia="宋体"/>
                <w:sz w:val="21"/>
                <w:lang w:val="en-US" w:eastAsia="zh-CN"/>
              </w:rPr>
              <w:t>分</w:t>
            </w:r>
            <w:r>
              <w:rPr>
                <w:rFonts w:hint="eastAsia" w:ascii="Calibri" w:eastAsia="宋体"/>
                <w:sz w:val="21"/>
                <w:lang w:val="en-US" w:eastAsia="zh-CN"/>
              </w:rPr>
              <w:t>。</w:t>
            </w:r>
          </w:p>
        </w:tc>
      </w:tr>
    </w:tbl>
    <w:p w14:paraId="723CFA65">
      <w:pPr>
        <w:pStyle w:val="1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16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按综合得分由高到低排序，得分最高者为成交供应商。得分相同以报价低者优先。</w:t>
      </w:r>
    </w:p>
    <w:p w14:paraId="107EF966">
      <w:pPr>
        <w:pStyle w:val="2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b w:val="0"/>
        </w:rPr>
      </w:pPr>
      <w:r>
        <w:rPr>
          <w:rFonts w:hint="eastAsia"/>
          <w:lang w:eastAsia="zh-CN"/>
        </w:rPr>
        <w:t>第四章</w:t>
      </w:r>
      <w:r>
        <w:rPr>
          <w:rFonts w:hint="eastAsia"/>
          <w:lang w:val="en-US" w:eastAsia="zh-CN"/>
        </w:rPr>
        <w:t xml:space="preserve"> </w:t>
      </w:r>
      <w:r>
        <w:t>采购需求</w:t>
      </w:r>
    </w:p>
    <w:p w14:paraId="4BDE30A7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一、服务内容</w:t>
      </w:r>
    </w:p>
    <w:p w14:paraId="56577AFA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仿宋_GB2312"/>
          <w:sz w:val="32"/>
          <w:szCs w:val="32"/>
        </w:rPr>
        <w:t>根据医院提供的资产清单及评估底价，依法组织公开拍卖活动。</w:t>
      </w:r>
    </w:p>
    <w:p w14:paraId="16695304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仿宋_GB2312"/>
          <w:sz w:val="32"/>
          <w:szCs w:val="32"/>
        </w:rPr>
        <w:t>编制拍卖公告、竞买须知、竞买协议、成交确认书、租赁合同草案等文件。</w:t>
      </w:r>
    </w:p>
    <w:p w14:paraId="0F0CF1FF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仿宋_GB2312"/>
          <w:sz w:val="32"/>
          <w:szCs w:val="32"/>
        </w:rPr>
        <w:t>在指定媒体（如中国拍卖行业协会网、公共资源交易平台、医院官网等）发布拍卖信息。</w:t>
      </w:r>
    </w:p>
    <w:p w14:paraId="036BB2D1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4.</w:t>
      </w:r>
      <w:r>
        <w:rPr>
          <w:rFonts w:ascii="Times New Roman" w:hAnsi="Times New Roman" w:eastAsia="仿宋_GB2312" w:cs="仿宋_GB2312"/>
          <w:sz w:val="32"/>
          <w:szCs w:val="32"/>
        </w:rPr>
        <w:t>接受竞买人咨询、组织现场展示（如需）。</w:t>
      </w:r>
    </w:p>
    <w:p w14:paraId="25A559FB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5.</w:t>
      </w:r>
      <w:r>
        <w:rPr>
          <w:rFonts w:ascii="Times New Roman" w:hAnsi="Times New Roman" w:eastAsia="仿宋_GB2312" w:cs="仿宋_GB2312"/>
          <w:sz w:val="32"/>
          <w:szCs w:val="32"/>
        </w:rPr>
        <w:t>按照拍卖法规定组织竞价，确定买受人及成交租金。</w:t>
      </w:r>
    </w:p>
    <w:p w14:paraId="1A82D731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6.</w:t>
      </w:r>
      <w:r>
        <w:rPr>
          <w:rFonts w:ascii="Times New Roman" w:hAnsi="Times New Roman" w:eastAsia="仿宋_GB2312" w:cs="仿宋_GB2312"/>
          <w:sz w:val="32"/>
          <w:szCs w:val="32"/>
        </w:rPr>
        <w:t>拍卖成交后出具《拍卖成交确认书》，并协助医院与买受人签订《租赁合同》。</w:t>
      </w:r>
    </w:p>
    <w:p w14:paraId="08CFF731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7.</w:t>
      </w:r>
      <w:r>
        <w:rPr>
          <w:rFonts w:ascii="Times New Roman" w:hAnsi="Times New Roman" w:eastAsia="仿宋_GB2312" w:cs="仿宋_GB2312"/>
          <w:sz w:val="32"/>
          <w:szCs w:val="32"/>
        </w:rPr>
        <w:t>配合医院完成国有资产出租备案相关手续。</w:t>
      </w:r>
    </w:p>
    <w:p w14:paraId="49CFDABB">
      <w:pPr>
        <w:pStyle w:val="3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/>
        <w:textAlignment w:val="auto"/>
        <w:rPr>
          <w:rFonts w:hint="eastAsia" w:ascii="黑体" w:hAnsi="黑体" w:eastAsia="黑体" w:cs="黑体"/>
          <w:b w:val="0"/>
        </w:rPr>
      </w:pPr>
      <w:r>
        <w:rPr>
          <w:rFonts w:hint="eastAsia" w:ascii="黑体" w:hAnsi="黑体" w:eastAsia="黑体" w:cs="黑体"/>
          <w:lang w:eastAsia="zh-CN"/>
        </w:rPr>
        <w:t>二、</w:t>
      </w:r>
      <w:r>
        <w:rPr>
          <w:rFonts w:hint="eastAsia" w:ascii="黑体" w:hAnsi="黑体" w:eastAsia="黑体" w:cs="黑体"/>
        </w:rPr>
        <w:t>服务要求</w:t>
      </w:r>
    </w:p>
    <w:p w14:paraId="26C39A8B">
      <w:pPr>
        <w:pStyle w:val="11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6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仿宋_GB2312"/>
          <w:sz w:val="32"/>
          <w:szCs w:val="32"/>
        </w:rPr>
        <w:t>拍卖活动必须遵循公开、公平、公正、诚实信用的原则。</w:t>
      </w:r>
    </w:p>
    <w:p w14:paraId="2CD1C7C1">
      <w:pPr>
        <w:pStyle w:val="11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6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仿宋_GB2312"/>
          <w:sz w:val="32"/>
          <w:szCs w:val="32"/>
        </w:rPr>
        <w:t>拍卖底价不得低于医院提供的评估底价。</w:t>
      </w:r>
    </w:p>
    <w:p w14:paraId="34C09713">
      <w:pPr>
        <w:pStyle w:val="11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6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仿宋_GB2312"/>
          <w:sz w:val="32"/>
          <w:szCs w:val="32"/>
        </w:rPr>
        <w:t>拍卖成交后，买受人按成交年租金缴纳租金，附加费用（水、电、物业等）据实结算。</w:t>
      </w:r>
    </w:p>
    <w:p w14:paraId="266C9FB2">
      <w:pPr>
        <w:pStyle w:val="11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6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4.</w:t>
      </w:r>
      <w:r>
        <w:rPr>
          <w:rFonts w:ascii="Times New Roman" w:hAnsi="Times New Roman" w:eastAsia="仿宋_GB2312" w:cs="仿宋_GB2312"/>
          <w:sz w:val="32"/>
          <w:szCs w:val="32"/>
        </w:rPr>
        <w:t>拍卖佣金由供应商按报价方案向买受人收取，医院不承担任何费用。</w:t>
      </w:r>
    </w:p>
    <w:p w14:paraId="1F29CD4C">
      <w:pPr>
        <w:pStyle w:val="11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6" w:firstLineChars="200"/>
        <w:textAlignment w:val="auto"/>
      </w:pPr>
      <w:r>
        <w:rPr>
          <w:rFonts w:hint="eastAsia" w:cs="仿宋_GB2312"/>
          <w:sz w:val="32"/>
          <w:szCs w:val="32"/>
          <w:lang w:val="en-US" w:eastAsia="zh-CN"/>
        </w:rPr>
        <w:t>5.</w:t>
      </w:r>
      <w:r>
        <w:rPr>
          <w:rFonts w:ascii="Times New Roman" w:hAnsi="Times New Roman" w:eastAsia="仿宋_GB2312" w:cs="仿宋_GB2312"/>
          <w:sz w:val="32"/>
          <w:szCs w:val="32"/>
        </w:rPr>
        <w:t>供应商应在拍卖成交后10个工作日内完成全部服务事项。</w:t>
      </w:r>
    </w:p>
    <w:p w14:paraId="328013FB">
      <w:pPr>
        <w:pStyle w:val="22"/>
        <w:widowControl/>
        <w:numPr>
          <w:ilvl w:val="0"/>
          <w:numId w:val="0"/>
        </w:numPr>
        <w:topLinePunct w:val="0"/>
        <w:ind w:left="0" w:leftChars="0" w:firstLine="640"/>
        <w:jc w:val="both"/>
        <w:rPr>
          <w:rFonts w:hint="eastAsia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31209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8D632A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E8D632A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9200A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9AB54A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zJ8uD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C9AB54A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B2BE9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F6EDD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B5F02"/>
    <w:rsid w:val="17473586"/>
    <w:rsid w:val="1A0F6007"/>
    <w:rsid w:val="1DB06180"/>
    <w:rsid w:val="23F72574"/>
    <w:rsid w:val="24FD1F3E"/>
    <w:rsid w:val="26541EAA"/>
    <w:rsid w:val="2735735D"/>
    <w:rsid w:val="2BBA56BE"/>
    <w:rsid w:val="2EF64F93"/>
    <w:rsid w:val="305D2F83"/>
    <w:rsid w:val="44906066"/>
    <w:rsid w:val="4E41266C"/>
    <w:rsid w:val="513A14D4"/>
    <w:rsid w:val="519E6E7D"/>
    <w:rsid w:val="53211655"/>
    <w:rsid w:val="70FD19B9"/>
    <w:rsid w:val="74AE2EF0"/>
    <w:rsid w:val="768F6EFC"/>
    <w:rsid w:val="7FB9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rPr>
      <w:sz w:val="24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9">
    <w:name w:val="Strong"/>
    <w:basedOn w:val="18"/>
    <w:qFormat/>
    <w:uiPriority w:val="0"/>
    <w:rPr>
      <w:b/>
    </w:rPr>
  </w:style>
  <w:style w:type="paragraph" w:customStyle="1" w:styleId="20">
    <w:name w:val="章标题"/>
    <w:next w:val="1"/>
    <w:qFormat/>
    <w:uiPriority w:val="0"/>
    <w:pPr>
      <w:widowControl w:val="0"/>
      <w:spacing w:line="560" w:lineRule="exact"/>
      <w:jc w:val="center"/>
      <w:outlineLvl w:val="0"/>
    </w:pPr>
    <w:rPr>
      <w:rFonts w:ascii="黑体" w:hAnsi="黑体" w:eastAsia="黑体" w:cs="黑体"/>
      <w:bCs/>
      <w:spacing w:val="-6"/>
      <w:kern w:val="44"/>
      <w:sz w:val="32"/>
      <w:szCs w:val="32"/>
      <w:lang w:bidi="ar-SA"/>
    </w:rPr>
  </w:style>
  <w:style w:type="character" w:customStyle="1" w:styleId="21">
    <w:name w:val="标题 3 Char"/>
    <w:qFormat/>
    <w:uiPriority w:val="0"/>
    <w:rPr>
      <w:rFonts w:ascii="Times New Roman" w:hAnsi="Times New Roman" w:eastAsia="仿宋_GB2312" w:cs="仿宋_GB2312"/>
      <w:sz w:val="32"/>
      <w:szCs w:val="32"/>
    </w:rPr>
  </w:style>
  <w:style w:type="paragraph" w:customStyle="1" w:styleId="22">
    <w:name w:val="表格标题"/>
    <w:next w:val="1"/>
    <w:qFormat/>
    <w:uiPriority w:val="0"/>
    <w:pPr>
      <w:overflowPunct w:val="0"/>
      <w:topLinePunct/>
      <w:spacing w:line="560" w:lineRule="exact"/>
      <w:jc w:val="center"/>
      <w:outlineLvl w:val="9"/>
    </w:pPr>
    <w:rPr>
      <w:rFonts w:ascii="Times New Roman" w:hAnsi="Times New Roman" w:eastAsia="仿宋_GB2312" w:cs="仿宋_GB2312"/>
      <w:spacing w:val="-6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1737</Words>
  <Characters>1831</Characters>
  <Lines>0</Lines>
  <Paragraphs>0</Paragraphs>
  <TotalTime>355</TotalTime>
  <ScaleCrop>false</ScaleCrop>
  <LinksUpToDate>false</LinksUpToDate>
  <CharactersWithSpaces>1838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2026-04-16T00:18:00Z</dcterms:created>
  <dc:creator>Administrator</dc:creator>
  <cp:lastModifiedBy>刘培源</cp:lastModifiedBy>
  <cp:lastPrinted>2026-08-18T10:04:00Z</cp:lastPrinted>
  <dcterms:modified xsi:type="dcterms:W3CDTF">2026-08-19T09:32:25Z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eyJoZGlkIjoiYmExYjM5ODM0NTkyMWU2OWJjN2FhMGNiMTk1OTdlMTkiLCJ1c2VySWQiOiI0OTY0MjU4NTcifQ==</vt:lpwstr>
  </property>
  <property fmtid="{D5CDD505-2E9C-101B-9397-08002B2CF9AE}" pid="4" name="ICV">
    <vt:lpwstr>9FF58602DBAF45BA90FF7EE0C574A698_13</vt:lpwstr>
  </property>
</Properties>
</file>